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192E" w14:textId="6E42568F" w:rsidR="00181852" w:rsidRPr="00117558" w:rsidRDefault="00181852" w:rsidP="00DC23AA">
      <w:pPr>
        <w:jc w:val="center"/>
        <w:rPr>
          <w:rFonts w:ascii="Tahoma" w:hAnsi="Tahoma" w:cs="Tahoma"/>
          <w:b/>
          <w:u w:val="single"/>
        </w:rPr>
      </w:pPr>
      <w:r w:rsidRPr="006C5EDD">
        <w:rPr>
          <w:rFonts w:ascii="Tahoma" w:hAnsi="Tahoma" w:cs="Tahoma"/>
          <w:b/>
          <w:sz w:val="28"/>
          <w:szCs w:val="28"/>
        </w:rPr>
        <w:t xml:space="preserve">Attachment A - Sanctions Procedures </w:t>
      </w:r>
      <w:bookmarkStart w:id="0" w:name="_GoBack"/>
      <w:bookmarkEnd w:id="0"/>
    </w:p>
    <w:p w14:paraId="378EF3EB" w14:textId="77777777" w:rsidR="00181852" w:rsidRPr="00117558" w:rsidRDefault="00181852" w:rsidP="00505CCC">
      <w:pPr>
        <w:rPr>
          <w:rFonts w:ascii="Tahoma" w:hAnsi="Tahoma" w:cs="Tahoma"/>
          <w:b/>
          <w:u w:val="single"/>
        </w:rPr>
      </w:pPr>
    </w:p>
    <w:p w14:paraId="0230621B" w14:textId="77777777" w:rsidR="00505CCC" w:rsidRPr="00117558" w:rsidRDefault="00505CCC" w:rsidP="00505CCC">
      <w:pPr>
        <w:rPr>
          <w:rFonts w:ascii="Tahoma" w:hAnsi="Tahoma" w:cs="Tahoma"/>
          <w:b/>
          <w:u w:val="single"/>
        </w:rPr>
      </w:pPr>
      <w:r w:rsidRPr="00117558">
        <w:rPr>
          <w:rFonts w:ascii="Tahoma" w:hAnsi="Tahoma" w:cs="Tahoma"/>
          <w:b/>
          <w:u w:val="single"/>
        </w:rPr>
        <w:t>Step 1: Notice of Sanctionable Act</w:t>
      </w:r>
    </w:p>
    <w:p w14:paraId="15305039" w14:textId="4FFE6CDC" w:rsidR="00505CCC" w:rsidRPr="006C5EDD" w:rsidRDefault="00505CCC" w:rsidP="00505CCC">
      <w:pPr>
        <w:rPr>
          <w:rFonts w:ascii="Tahoma" w:hAnsi="Tahoma" w:cs="Tahoma"/>
        </w:rPr>
      </w:pPr>
      <w:bookmarkStart w:id="1" w:name="_Hlk98246698"/>
      <w:r w:rsidRPr="006C5EDD">
        <w:rPr>
          <w:rFonts w:ascii="Tahoma" w:hAnsi="Tahoma" w:cs="Tahoma"/>
        </w:rPr>
        <w:t>If informal resolution fails to resolve the issue(s)</w:t>
      </w:r>
      <w:r w:rsidR="005B44CB" w:rsidRPr="006C5EDD">
        <w:rPr>
          <w:rFonts w:ascii="Tahoma" w:hAnsi="Tahoma" w:cs="Tahoma"/>
        </w:rPr>
        <w:t xml:space="preserve"> within the timeframe</w:t>
      </w:r>
      <w:r w:rsidR="003203F0" w:rsidRPr="006C5EDD">
        <w:rPr>
          <w:rFonts w:ascii="Tahoma" w:hAnsi="Tahoma" w:cs="Tahoma"/>
        </w:rPr>
        <w:t xml:space="preserve"> described in</w:t>
      </w:r>
      <w:r w:rsidR="005B44CB" w:rsidRPr="006C5EDD">
        <w:rPr>
          <w:rFonts w:ascii="Tahoma" w:hAnsi="Tahoma" w:cs="Tahoma"/>
        </w:rPr>
        <w:t xml:space="preserve"> the policy</w:t>
      </w:r>
      <w:r w:rsidRPr="006C5EDD">
        <w:rPr>
          <w:rFonts w:ascii="Tahoma" w:hAnsi="Tahoma" w:cs="Tahoma"/>
        </w:rPr>
        <w:t xml:space="preserve">, </w:t>
      </w:r>
      <w:r w:rsidR="00120DA4" w:rsidRPr="006C5EDD">
        <w:rPr>
          <w:rFonts w:ascii="Tahoma" w:hAnsi="Tahoma" w:cs="Tahoma"/>
        </w:rPr>
        <w:t>OWI</w:t>
      </w:r>
      <w:r w:rsidRPr="006C5EDD">
        <w:rPr>
          <w:rFonts w:ascii="Tahoma" w:hAnsi="Tahoma" w:cs="Tahoma"/>
        </w:rPr>
        <w:t xml:space="preserve">, as the Governor's designated administrative entity, will issue a written notice identifying any sanctionable act(s). The written notice will include requirements for a </w:t>
      </w:r>
      <w:r w:rsidR="00120DA4" w:rsidRPr="006C5EDD">
        <w:rPr>
          <w:rFonts w:ascii="Tahoma" w:hAnsi="Tahoma" w:cs="Tahoma"/>
        </w:rPr>
        <w:t>Corrective Action Plan (CAP)</w:t>
      </w:r>
      <w:r w:rsidRPr="006C5EDD">
        <w:rPr>
          <w:rFonts w:ascii="Tahoma" w:hAnsi="Tahoma" w:cs="Tahoma"/>
        </w:rPr>
        <w:t xml:space="preserve"> and</w:t>
      </w:r>
      <w:r w:rsidR="005B44CB" w:rsidRPr="006C5EDD">
        <w:rPr>
          <w:rFonts w:ascii="Tahoma" w:hAnsi="Tahoma" w:cs="Tahoma"/>
        </w:rPr>
        <w:t xml:space="preserve"> the</w:t>
      </w:r>
      <w:r w:rsidRPr="006C5EDD">
        <w:rPr>
          <w:rFonts w:ascii="Tahoma" w:hAnsi="Tahoma" w:cs="Tahoma"/>
        </w:rPr>
        <w:t xml:space="preserve"> sanction(s) to be imposed.</w:t>
      </w:r>
      <w:bookmarkEnd w:id="1"/>
      <w:r w:rsidRPr="006C5EDD">
        <w:rPr>
          <w:rFonts w:ascii="Tahoma" w:hAnsi="Tahoma" w:cs="Tahoma"/>
        </w:rPr>
        <w:t xml:space="preserve"> The notice will be sent by registered mail to the subrecipient (if a state grantee), the signatory official, the Chief Elected Official (CEO),</w:t>
      </w:r>
      <w:r w:rsidR="00120DA4" w:rsidRPr="006C5EDD">
        <w:rPr>
          <w:rFonts w:ascii="Tahoma" w:hAnsi="Tahoma" w:cs="Tahoma"/>
        </w:rPr>
        <w:t xml:space="preserve"> </w:t>
      </w:r>
      <w:r w:rsidRPr="006C5EDD">
        <w:rPr>
          <w:rFonts w:ascii="Tahoma" w:hAnsi="Tahoma" w:cs="Tahoma"/>
        </w:rPr>
        <w:t>the Local Workforce Development Board (LWDB) Chairperson</w:t>
      </w:r>
      <w:r w:rsidR="00673185" w:rsidRPr="006C5EDD">
        <w:rPr>
          <w:rFonts w:ascii="Tahoma" w:hAnsi="Tahoma" w:cs="Tahoma"/>
        </w:rPr>
        <w:t>, and the LWDB Director.</w:t>
      </w:r>
      <w:r w:rsidRPr="006C5EDD">
        <w:rPr>
          <w:rFonts w:ascii="Tahoma" w:hAnsi="Tahoma" w:cs="Tahoma"/>
        </w:rPr>
        <w:t xml:space="preserve"> The </w:t>
      </w:r>
      <w:r w:rsidR="00120DA4" w:rsidRPr="006C5EDD">
        <w:rPr>
          <w:rFonts w:ascii="Tahoma" w:hAnsi="Tahoma" w:cs="Tahoma"/>
        </w:rPr>
        <w:t>W</w:t>
      </w:r>
      <w:r w:rsidR="007B1F26">
        <w:rPr>
          <w:rFonts w:ascii="Tahoma" w:hAnsi="Tahoma" w:cs="Tahoma"/>
        </w:rPr>
        <w:t xml:space="preserve">orkforce </w:t>
      </w:r>
      <w:r w:rsidR="00DC5785">
        <w:rPr>
          <w:rFonts w:ascii="Tahoma" w:hAnsi="Tahoma" w:cs="Tahoma"/>
        </w:rPr>
        <w:t xml:space="preserve">and </w:t>
      </w:r>
      <w:r w:rsidR="007B1F26">
        <w:rPr>
          <w:rFonts w:ascii="Tahoma" w:hAnsi="Tahoma" w:cs="Tahoma"/>
        </w:rPr>
        <w:t>Talent Development Board (W</w:t>
      </w:r>
      <w:r w:rsidR="00120DA4" w:rsidRPr="006C5EDD">
        <w:rPr>
          <w:rFonts w:ascii="Tahoma" w:hAnsi="Tahoma" w:cs="Tahoma"/>
        </w:rPr>
        <w:t>TDB</w:t>
      </w:r>
      <w:r w:rsidR="007B1F26">
        <w:rPr>
          <w:rFonts w:ascii="Tahoma" w:hAnsi="Tahoma" w:cs="Tahoma"/>
        </w:rPr>
        <w:t>)</w:t>
      </w:r>
      <w:r w:rsidRPr="006C5EDD">
        <w:rPr>
          <w:rFonts w:ascii="Tahoma" w:hAnsi="Tahoma" w:cs="Tahoma"/>
        </w:rPr>
        <w:t xml:space="preserve"> Chairperson will also receive the Notice of Sanctionable Act.</w:t>
      </w:r>
    </w:p>
    <w:p w14:paraId="798246D7" w14:textId="77777777" w:rsidR="00505CCC" w:rsidRPr="006C5EDD" w:rsidRDefault="00505CCC" w:rsidP="00505CCC">
      <w:pPr>
        <w:rPr>
          <w:rFonts w:ascii="Tahoma" w:hAnsi="Tahoma" w:cs="Tahoma"/>
        </w:rPr>
      </w:pPr>
    </w:p>
    <w:p w14:paraId="15E4966D" w14:textId="77777777" w:rsidR="00505CCC" w:rsidRPr="006C5EDD" w:rsidRDefault="00505CCC" w:rsidP="00505CCC">
      <w:pPr>
        <w:rPr>
          <w:rFonts w:ascii="Tahoma" w:hAnsi="Tahoma" w:cs="Tahoma"/>
        </w:rPr>
      </w:pPr>
      <w:r w:rsidRPr="006C5EDD">
        <w:rPr>
          <w:rFonts w:ascii="Tahoma" w:hAnsi="Tahoma" w:cs="Tahoma"/>
        </w:rPr>
        <w:t>If deemed necessary or prudent (e.g., incidents of fraud, malfeasance, misapplication of funds, potential or suspected criminal activity, or other serious violations), sanctions may be imposed at any time and without prior notice.</w:t>
      </w:r>
    </w:p>
    <w:p w14:paraId="7D6B91DC" w14:textId="77777777" w:rsidR="00505CCC" w:rsidRPr="006C5EDD" w:rsidRDefault="00505CCC" w:rsidP="00505CCC">
      <w:pPr>
        <w:rPr>
          <w:rFonts w:ascii="Tahoma" w:hAnsi="Tahoma" w:cs="Tahoma"/>
        </w:rPr>
      </w:pPr>
    </w:p>
    <w:p w14:paraId="22C7A2F4" w14:textId="77777777" w:rsidR="00120DA4" w:rsidRPr="006C5EDD" w:rsidRDefault="00120DA4" w:rsidP="00120DA4">
      <w:pPr>
        <w:rPr>
          <w:rFonts w:ascii="Tahoma" w:hAnsi="Tahoma" w:cs="Tahoma"/>
        </w:rPr>
      </w:pPr>
      <w:r w:rsidRPr="006C5EDD">
        <w:rPr>
          <w:rFonts w:ascii="Tahoma" w:hAnsi="Tahoma" w:cs="Tahoma"/>
        </w:rPr>
        <w:tab/>
        <w:t xml:space="preserve">Corrective Action Plan (CAP) </w:t>
      </w:r>
    </w:p>
    <w:p w14:paraId="5FC33232" w14:textId="546ED2C7" w:rsidR="00120DA4" w:rsidRPr="006C5EDD" w:rsidRDefault="00120DA4" w:rsidP="00120DA4">
      <w:pPr>
        <w:ind w:left="720"/>
        <w:rPr>
          <w:rFonts w:ascii="Tahoma" w:hAnsi="Tahoma" w:cs="Tahoma"/>
        </w:rPr>
      </w:pPr>
      <w:r w:rsidRPr="006C5EDD">
        <w:rPr>
          <w:rFonts w:ascii="Tahoma" w:hAnsi="Tahoma" w:cs="Tahoma"/>
        </w:rPr>
        <w:t>CAPs will be developed by local WDBs</w:t>
      </w:r>
      <w:r w:rsidR="005B44CB" w:rsidRPr="006C5EDD">
        <w:rPr>
          <w:rFonts w:ascii="Tahoma" w:hAnsi="Tahoma" w:cs="Tahoma"/>
        </w:rPr>
        <w:t xml:space="preserve"> and submitted to OWI for approval</w:t>
      </w:r>
      <w:r w:rsidRPr="006C5EDD">
        <w:rPr>
          <w:rFonts w:ascii="Tahoma" w:hAnsi="Tahoma" w:cs="Tahoma"/>
        </w:rPr>
        <w:t xml:space="preserve">. The corrective action plan will include actions the local WDB will take to correct the </w:t>
      </w:r>
      <w:bookmarkStart w:id="2" w:name="_Hlk105067394"/>
      <w:r w:rsidR="005B44CB" w:rsidRPr="006C5EDD">
        <w:rPr>
          <w:rFonts w:ascii="Tahoma" w:hAnsi="Tahoma" w:cs="Tahoma"/>
        </w:rPr>
        <w:t>incident(s) of non-</w:t>
      </w:r>
      <w:r w:rsidRPr="006C5EDD">
        <w:rPr>
          <w:rFonts w:ascii="Tahoma" w:hAnsi="Tahoma" w:cs="Tahoma"/>
        </w:rPr>
        <w:t>compliance</w:t>
      </w:r>
      <w:bookmarkEnd w:id="2"/>
      <w:r w:rsidR="005B44CB" w:rsidRPr="006C5EDD">
        <w:rPr>
          <w:rFonts w:ascii="Tahoma" w:hAnsi="Tahoma" w:cs="Tahoma"/>
        </w:rPr>
        <w:t>,</w:t>
      </w:r>
      <w:r w:rsidR="00DD3662" w:rsidRPr="006C5EDD">
        <w:rPr>
          <w:rFonts w:ascii="Tahoma" w:hAnsi="Tahoma" w:cs="Tahoma"/>
        </w:rPr>
        <w:t xml:space="preserve"> </w:t>
      </w:r>
      <w:r w:rsidRPr="006C5EDD">
        <w:rPr>
          <w:rFonts w:ascii="Tahoma" w:hAnsi="Tahoma" w:cs="Tahoma"/>
        </w:rPr>
        <w:t>the estimated date the problem will be resolved, and how the local board will be involved in addressing the issue. By developing a CAP and abiding by the terms of this action plan, local WDBs may</w:t>
      </w:r>
      <w:r w:rsidR="00673185" w:rsidRPr="006C5EDD">
        <w:rPr>
          <w:rFonts w:ascii="Tahoma" w:hAnsi="Tahoma" w:cs="Tahoma"/>
        </w:rPr>
        <w:t xml:space="preserve"> be able to</w:t>
      </w:r>
      <w:r w:rsidRPr="006C5EDD">
        <w:rPr>
          <w:rFonts w:ascii="Tahoma" w:hAnsi="Tahoma" w:cs="Tahoma"/>
        </w:rPr>
        <w:t xml:space="preserve"> respond to and resolve issues before </w:t>
      </w:r>
      <w:r w:rsidR="00673185" w:rsidRPr="006C5EDD">
        <w:rPr>
          <w:rFonts w:ascii="Tahoma" w:hAnsi="Tahoma" w:cs="Tahoma"/>
        </w:rPr>
        <w:t>a sanction is imposed.</w:t>
      </w:r>
    </w:p>
    <w:p w14:paraId="5E6993E9" w14:textId="77777777" w:rsidR="00120DA4" w:rsidRPr="006C5EDD" w:rsidRDefault="00120DA4" w:rsidP="00120DA4">
      <w:pPr>
        <w:ind w:left="720"/>
        <w:rPr>
          <w:rFonts w:ascii="Tahoma" w:hAnsi="Tahoma" w:cs="Tahoma"/>
        </w:rPr>
      </w:pPr>
    </w:p>
    <w:p w14:paraId="135C3321" w14:textId="77777777" w:rsidR="00120DA4" w:rsidRPr="006C5EDD" w:rsidRDefault="00120DA4" w:rsidP="00120DA4">
      <w:pPr>
        <w:ind w:left="720"/>
        <w:rPr>
          <w:rFonts w:ascii="Tahoma" w:hAnsi="Tahoma" w:cs="Tahoma"/>
        </w:rPr>
      </w:pPr>
      <w:r w:rsidRPr="006C5EDD">
        <w:rPr>
          <w:rFonts w:ascii="Tahoma" w:hAnsi="Tahoma" w:cs="Tahoma"/>
        </w:rPr>
        <w:t xml:space="preserve">CAPs may include </w:t>
      </w:r>
      <w:r w:rsidR="00673185" w:rsidRPr="006C5EDD">
        <w:rPr>
          <w:rFonts w:ascii="Tahoma" w:hAnsi="Tahoma" w:cs="Tahoma"/>
        </w:rPr>
        <w:t xml:space="preserve">a request for </w:t>
      </w:r>
      <w:r w:rsidRPr="006C5EDD">
        <w:rPr>
          <w:rFonts w:ascii="Tahoma" w:hAnsi="Tahoma" w:cs="Tahoma"/>
        </w:rPr>
        <w:t>the provision of technical assistance by OWI.</w:t>
      </w:r>
    </w:p>
    <w:p w14:paraId="53223887" w14:textId="77777777" w:rsidR="00120DA4" w:rsidRPr="00117558" w:rsidRDefault="00120DA4" w:rsidP="00505CCC">
      <w:pPr>
        <w:rPr>
          <w:rFonts w:ascii="Tahoma" w:hAnsi="Tahoma" w:cs="Tahoma"/>
          <w:u w:val="single"/>
        </w:rPr>
      </w:pPr>
    </w:p>
    <w:p w14:paraId="308EE9B5" w14:textId="77777777" w:rsidR="00505CCC" w:rsidRPr="00117558" w:rsidRDefault="00505CCC" w:rsidP="00505CCC">
      <w:pPr>
        <w:rPr>
          <w:rFonts w:ascii="Tahoma" w:hAnsi="Tahoma" w:cs="Tahoma"/>
          <w:b/>
          <w:u w:val="single"/>
        </w:rPr>
      </w:pPr>
      <w:r w:rsidRPr="00117558">
        <w:rPr>
          <w:rFonts w:ascii="Tahoma" w:hAnsi="Tahoma" w:cs="Tahoma"/>
          <w:b/>
          <w:u w:val="single"/>
        </w:rPr>
        <w:t>Step 2: Subrecipient Response</w:t>
      </w:r>
    </w:p>
    <w:p w14:paraId="75A88291" w14:textId="1B2CB0BF" w:rsidR="00505CCC" w:rsidRPr="006C5EDD" w:rsidRDefault="00673185" w:rsidP="00505CCC">
      <w:pPr>
        <w:rPr>
          <w:rFonts w:ascii="Tahoma" w:hAnsi="Tahoma" w:cs="Tahoma"/>
        </w:rPr>
      </w:pPr>
      <w:r w:rsidRPr="006C5EDD">
        <w:rPr>
          <w:rFonts w:ascii="Tahoma" w:hAnsi="Tahoma" w:cs="Tahoma"/>
        </w:rPr>
        <w:t>The subrecipient must respond to the identified requirements in the</w:t>
      </w:r>
      <w:r w:rsidR="005B44CB" w:rsidRPr="006C5EDD">
        <w:rPr>
          <w:rFonts w:ascii="Tahoma" w:hAnsi="Tahoma" w:cs="Tahoma"/>
        </w:rPr>
        <w:t xml:space="preserve"> written notice (see Step 1)</w:t>
      </w:r>
      <w:r w:rsidRPr="006C5EDD">
        <w:rPr>
          <w:rFonts w:ascii="Tahoma" w:hAnsi="Tahoma" w:cs="Tahoma"/>
        </w:rPr>
        <w:t>, and must create a CAP, within the required timeframe specified in the Notice of Sanctionable Act. In the response, the subrecipient may note justifications for the violation(s), mitigating efforts already made by the subrecipient to lessen any effects of the violation(s), and other information, as appropriate. Subrecipients may also request technical assistance activities related to sanctions</w:t>
      </w:r>
    </w:p>
    <w:p w14:paraId="5CA5EF42" w14:textId="77777777" w:rsidR="00673185" w:rsidRPr="006C5EDD" w:rsidRDefault="00673185" w:rsidP="00505CCC">
      <w:pPr>
        <w:rPr>
          <w:rFonts w:ascii="Tahoma" w:hAnsi="Tahoma" w:cs="Tahoma"/>
        </w:rPr>
      </w:pPr>
    </w:p>
    <w:p w14:paraId="6429E8BB" w14:textId="041263D4" w:rsidR="00505CCC" w:rsidRPr="00117558" w:rsidRDefault="00505CCC" w:rsidP="00505CCC">
      <w:pPr>
        <w:rPr>
          <w:rFonts w:ascii="Tahoma" w:hAnsi="Tahoma" w:cs="Tahoma"/>
          <w:u w:val="single"/>
        </w:rPr>
      </w:pPr>
      <w:r w:rsidRPr="006C5EDD">
        <w:rPr>
          <w:rFonts w:ascii="Tahoma" w:hAnsi="Tahoma" w:cs="Tahoma"/>
        </w:rPr>
        <w:t xml:space="preserve">If the subrecipient resolves the sanctionable act, </w:t>
      </w:r>
      <w:r w:rsidR="00673185" w:rsidRPr="006C5EDD">
        <w:rPr>
          <w:rFonts w:ascii="Tahoma" w:hAnsi="Tahoma" w:cs="Tahoma"/>
        </w:rPr>
        <w:t>OWI</w:t>
      </w:r>
      <w:r w:rsidRPr="006C5EDD">
        <w:rPr>
          <w:rFonts w:ascii="Tahoma" w:hAnsi="Tahoma" w:cs="Tahoma"/>
        </w:rPr>
        <w:t xml:space="preserve"> will proceed to Step 4 and send a Notice of Resolution of Sanctionable Act.</w:t>
      </w:r>
    </w:p>
    <w:p w14:paraId="36D24CCA" w14:textId="77777777" w:rsidR="00D47528" w:rsidRPr="00117558" w:rsidRDefault="00D47528" w:rsidP="00505CCC">
      <w:pPr>
        <w:rPr>
          <w:rFonts w:ascii="Tahoma" w:hAnsi="Tahoma" w:cs="Tahoma"/>
          <w:u w:val="single"/>
        </w:rPr>
      </w:pPr>
    </w:p>
    <w:p w14:paraId="3CD8A8B7" w14:textId="1C855BE4" w:rsidR="00505CCC" w:rsidRPr="00117558" w:rsidRDefault="00505CCC" w:rsidP="00505CCC">
      <w:pPr>
        <w:rPr>
          <w:rFonts w:ascii="Tahoma" w:hAnsi="Tahoma" w:cs="Tahoma"/>
          <w:b/>
          <w:u w:val="single"/>
        </w:rPr>
      </w:pPr>
      <w:r w:rsidRPr="00117558">
        <w:rPr>
          <w:rFonts w:ascii="Tahoma" w:hAnsi="Tahoma" w:cs="Tahoma"/>
          <w:b/>
          <w:u w:val="single"/>
        </w:rPr>
        <w:t>Step 3: Noti</w:t>
      </w:r>
      <w:r w:rsidR="005B44CB" w:rsidRPr="00117558">
        <w:rPr>
          <w:rFonts w:ascii="Tahoma" w:hAnsi="Tahoma" w:cs="Tahoma"/>
          <w:b/>
          <w:u w:val="single"/>
        </w:rPr>
        <w:t>fication</w:t>
      </w:r>
      <w:r w:rsidRPr="00117558">
        <w:rPr>
          <w:rFonts w:ascii="Tahoma" w:hAnsi="Tahoma" w:cs="Tahoma"/>
          <w:b/>
          <w:u w:val="single"/>
        </w:rPr>
        <w:t xml:space="preserve"> of Sanction</w:t>
      </w:r>
      <w:r w:rsidR="005B44CB" w:rsidRPr="00117558">
        <w:rPr>
          <w:rFonts w:ascii="Tahoma" w:hAnsi="Tahoma" w:cs="Tahoma"/>
          <w:b/>
          <w:u w:val="single"/>
        </w:rPr>
        <w:t>(s)</w:t>
      </w:r>
    </w:p>
    <w:p w14:paraId="5ECD4B52" w14:textId="77777777" w:rsidR="00505CCC" w:rsidRPr="006C5EDD" w:rsidRDefault="00505CCC" w:rsidP="00505CCC">
      <w:pPr>
        <w:rPr>
          <w:rFonts w:ascii="Tahoma" w:hAnsi="Tahoma" w:cs="Tahoma"/>
        </w:rPr>
      </w:pPr>
      <w:r w:rsidRPr="006C5EDD">
        <w:rPr>
          <w:rFonts w:ascii="Tahoma" w:hAnsi="Tahoma" w:cs="Tahoma"/>
        </w:rPr>
        <w:t xml:space="preserve">Upon determining that the subrecipient </w:t>
      </w:r>
      <w:r w:rsidR="00673185" w:rsidRPr="006C5EDD">
        <w:rPr>
          <w:rFonts w:ascii="Tahoma" w:hAnsi="Tahoma" w:cs="Tahoma"/>
        </w:rPr>
        <w:t>has not corrected the sanctionable</w:t>
      </w:r>
      <w:r w:rsidRPr="006C5EDD">
        <w:rPr>
          <w:rFonts w:ascii="Tahoma" w:hAnsi="Tahoma" w:cs="Tahoma"/>
        </w:rPr>
        <w:t xml:space="preserve"> act, </w:t>
      </w:r>
      <w:r w:rsidR="00673185" w:rsidRPr="006C5EDD">
        <w:rPr>
          <w:rFonts w:ascii="Tahoma" w:hAnsi="Tahoma" w:cs="Tahoma"/>
        </w:rPr>
        <w:t>OWI</w:t>
      </w:r>
      <w:r w:rsidRPr="006C5EDD">
        <w:rPr>
          <w:rFonts w:ascii="Tahoma" w:hAnsi="Tahoma" w:cs="Tahoma"/>
        </w:rPr>
        <w:t xml:space="preserve"> will issue a written Notice of Sanction by registered mail to the subrecipient (if a state grantee), the signatory official, the CEO, the LWDB Chairperson, </w:t>
      </w:r>
      <w:bookmarkStart w:id="3" w:name="_Hlk98235322"/>
      <w:r w:rsidRPr="006C5EDD">
        <w:rPr>
          <w:rFonts w:ascii="Tahoma" w:hAnsi="Tahoma" w:cs="Tahoma"/>
        </w:rPr>
        <w:t>and the LWD</w:t>
      </w:r>
      <w:r w:rsidR="00673185" w:rsidRPr="006C5EDD">
        <w:rPr>
          <w:rFonts w:ascii="Tahoma" w:hAnsi="Tahoma" w:cs="Tahoma"/>
        </w:rPr>
        <w:t>B Director</w:t>
      </w:r>
      <w:bookmarkEnd w:id="3"/>
      <w:r w:rsidRPr="006C5EDD">
        <w:rPr>
          <w:rFonts w:ascii="Tahoma" w:hAnsi="Tahoma" w:cs="Tahoma"/>
        </w:rPr>
        <w:t xml:space="preserve">. The </w:t>
      </w:r>
      <w:r w:rsidR="00673185" w:rsidRPr="006C5EDD">
        <w:rPr>
          <w:rFonts w:ascii="Tahoma" w:hAnsi="Tahoma" w:cs="Tahoma"/>
        </w:rPr>
        <w:t>WTDB</w:t>
      </w:r>
      <w:r w:rsidRPr="006C5EDD">
        <w:rPr>
          <w:rFonts w:ascii="Tahoma" w:hAnsi="Tahoma" w:cs="Tahoma"/>
        </w:rPr>
        <w:t xml:space="preserve"> Chairperson will also receive the Notice of Sanctionable Act. The Notice of Sanction must </w:t>
      </w:r>
      <w:r w:rsidR="00673185" w:rsidRPr="006C5EDD">
        <w:rPr>
          <w:rFonts w:ascii="Tahoma" w:hAnsi="Tahoma" w:cs="Tahoma"/>
        </w:rPr>
        <w:t>include the</w:t>
      </w:r>
      <w:r w:rsidRPr="006C5EDD">
        <w:rPr>
          <w:rFonts w:ascii="Tahoma" w:hAnsi="Tahoma" w:cs="Tahoma"/>
        </w:rPr>
        <w:t xml:space="preserve"> following information in accordance with 2 CFR 200.207:</w:t>
      </w:r>
    </w:p>
    <w:p w14:paraId="04CF76A3" w14:textId="77777777" w:rsidR="00505CCC" w:rsidRPr="006C5EDD" w:rsidRDefault="00505CCC" w:rsidP="00505CCC">
      <w:pPr>
        <w:rPr>
          <w:rFonts w:ascii="Tahoma" w:hAnsi="Tahoma" w:cs="Tahoma"/>
        </w:rPr>
      </w:pPr>
    </w:p>
    <w:p w14:paraId="260709A2" w14:textId="77777777" w:rsidR="00505CCC" w:rsidRPr="006C5EDD" w:rsidRDefault="00505CCC" w:rsidP="00A4009A">
      <w:pPr>
        <w:pStyle w:val="ListParagraph"/>
        <w:numPr>
          <w:ilvl w:val="0"/>
          <w:numId w:val="2"/>
        </w:numPr>
        <w:rPr>
          <w:rFonts w:ascii="Tahoma" w:hAnsi="Tahoma" w:cs="Tahoma"/>
        </w:rPr>
      </w:pPr>
      <w:r w:rsidRPr="006C5EDD">
        <w:rPr>
          <w:rFonts w:ascii="Tahoma" w:hAnsi="Tahoma" w:cs="Tahoma"/>
        </w:rPr>
        <w:t>Nature of the sanction</w:t>
      </w:r>
    </w:p>
    <w:p w14:paraId="77094B17" w14:textId="77777777" w:rsidR="00505CCC" w:rsidRPr="006C5EDD" w:rsidRDefault="00505CCC" w:rsidP="00A4009A">
      <w:pPr>
        <w:pStyle w:val="ListParagraph"/>
        <w:numPr>
          <w:ilvl w:val="0"/>
          <w:numId w:val="2"/>
        </w:numPr>
        <w:rPr>
          <w:rFonts w:ascii="Tahoma" w:hAnsi="Tahoma" w:cs="Tahoma"/>
        </w:rPr>
      </w:pPr>
      <w:r w:rsidRPr="006C5EDD">
        <w:rPr>
          <w:rFonts w:ascii="Tahoma" w:hAnsi="Tahoma" w:cs="Tahoma"/>
        </w:rPr>
        <w:t>Reason the sanction is being imposed</w:t>
      </w:r>
    </w:p>
    <w:p w14:paraId="3A9296E2" w14:textId="77777777" w:rsidR="00505CCC" w:rsidRPr="006C5EDD" w:rsidRDefault="00505CCC" w:rsidP="00A4009A">
      <w:pPr>
        <w:pStyle w:val="ListParagraph"/>
        <w:numPr>
          <w:ilvl w:val="0"/>
          <w:numId w:val="2"/>
        </w:numPr>
        <w:rPr>
          <w:rFonts w:ascii="Tahoma" w:hAnsi="Tahoma" w:cs="Tahoma"/>
        </w:rPr>
      </w:pPr>
      <w:r w:rsidRPr="006C5EDD">
        <w:rPr>
          <w:rFonts w:ascii="Tahoma" w:hAnsi="Tahoma" w:cs="Tahoma"/>
        </w:rPr>
        <w:t>The remedial action(s) and/or condition(s) needed to remove the sanction, if applicable</w:t>
      </w:r>
    </w:p>
    <w:p w14:paraId="24B33ABD" w14:textId="77777777" w:rsidR="00505CCC" w:rsidRPr="006C5EDD" w:rsidRDefault="00505CCC" w:rsidP="00A4009A">
      <w:pPr>
        <w:pStyle w:val="ListParagraph"/>
        <w:numPr>
          <w:ilvl w:val="0"/>
          <w:numId w:val="2"/>
        </w:numPr>
        <w:rPr>
          <w:rFonts w:ascii="Tahoma" w:hAnsi="Tahoma" w:cs="Tahoma"/>
        </w:rPr>
      </w:pPr>
      <w:r w:rsidRPr="006C5EDD">
        <w:rPr>
          <w:rFonts w:ascii="Tahoma" w:hAnsi="Tahoma" w:cs="Tahoma"/>
        </w:rPr>
        <w:lastRenderedPageBreak/>
        <w:t>Time allowed for completing the remedial action(s) or meeting the condition(s), if applicable</w:t>
      </w:r>
    </w:p>
    <w:p w14:paraId="0AE127F3" w14:textId="77777777" w:rsidR="00D47528" w:rsidRPr="006C5EDD" w:rsidRDefault="00505CCC" w:rsidP="00D47528">
      <w:pPr>
        <w:pStyle w:val="ListParagraph"/>
        <w:numPr>
          <w:ilvl w:val="0"/>
          <w:numId w:val="2"/>
        </w:numPr>
        <w:rPr>
          <w:rFonts w:ascii="Tahoma" w:hAnsi="Tahoma" w:cs="Tahoma"/>
        </w:rPr>
      </w:pPr>
      <w:r w:rsidRPr="006C5EDD">
        <w:rPr>
          <w:rFonts w:ascii="Tahoma" w:hAnsi="Tahoma" w:cs="Tahoma"/>
        </w:rPr>
        <w:t xml:space="preserve">Method for appealing the sanction imposed </w:t>
      </w:r>
    </w:p>
    <w:p w14:paraId="7AC64D18" w14:textId="77777777" w:rsidR="00D47528" w:rsidRPr="006C5EDD" w:rsidRDefault="00D47528" w:rsidP="00D47528">
      <w:pPr>
        <w:rPr>
          <w:rFonts w:ascii="Tahoma" w:hAnsi="Tahoma" w:cs="Tahoma"/>
        </w:rPr>
      </w:pPr>
    </w:p>
    <w:p w14:paraId="24889E49" w14:textId="4322FEC3" w:rsidR="00505CCC" w:rsidRPr="006C5EDD" w:rsidRDefault="00DA274E" w:rsidP="00D47528">
      <w:pPr>
        <w:rPr>
          <w:rFonts w:ascii="Tahoma" w:hAnsi="Tahoma" w:cs="Tahoma"/>
        </w:rPr>
      </w:pPr>
      <w:r w:rsidRPr="006C5EDD">
        <w:rPr>
          <w:rFonts w:ascii="Tahoma" w:hAnsi="Tahoma" w:cs="Tahoma"/>
        </w:rPr>
        <w:t xml:space="preserve">The </w:t>
      </w:r>
      <w:r w:rsidR="005B44CB" w:rsidRPr="006C5EDD">
        <w:rPr>
          <w:rFonts w:ascii="Tahoma" w:hAnsi="Tahoma" w:cs="Tahoma"/>
        </w:rPr>
        <w:t>s</w:t>
      </w:r>
      <w:r w:rsidR="00505CCC" w:rsidRPr="006C5EDD">
        <w:rPr>
          <w:rFonts w:ascii="Tahoma" w:hAnsi="Tahoma" w:cs="Tahoma"/>
        </w:rPr>
        <w:t>anction</w:t>
      </w:r>
      <w:r w:rsidRPr="006C5EDD">
        <w:rPr>
          <w:rFonts w:ascii="Tahoma" w:hAnsi="Tahoma" w:cs="Tahoma"/>
        </w:rPr>
        <w:t xml:space="preserve"> or sanctions </w:t>
      </w:r>
      <w:r w:rsidR="00505CCC" w:rsidRPr="006C5EDD">
        <w:rPr>
          <w:rFonts w:ascii="Tahoma" w:hAnsi="Tahoma" w:cs="Tahoma"/>
        </w:rPr>
        <w:t>will be imposed based on the following criteria:</w:t>
      </w:r>
    </w:p>
    <w:p w14:paraId="282D2712" w14:textId="77777777" w:rsidR="00505CCC" w:rsidRPr="006C5EDD" w:rsidRDefault="00505CCC" w:rsidP="00A4009A">
      <w:pPr>
        <w:pStyle w:val="ListParagraph"/>
        <w:numPr>
          <w:ilvl w:val="0"/>
          <w:numId w:val="2"/>
        </w:numPr>
        <w:rPr>
          <w:rFonts w:ascii="Tahoma" w:hAnsi="Tahoma" w:cs="Tahoma"/>
        </w:rPr>
      </w:pPr>
      <w:r w:rsidRPr="006C5EDD">
        <w:rPr>
          <w:rFonts w:ascii="Tahoma" w:hAnsi="Tahoma" w:cs="Tahoma"/>
        </w:rPr>
        <w:t>Totality of the circumstances surrounding the sanctionable act(s):</w:t>
      </w:r>
    </w:p>
    <w:p w14:paraId="67409B21" w14:textId="77777777" w:rsidR="00505CCC" w:rsidRPr="006C5EDD" w:rsidRDefault="00505CCC" w:rsidP="00D47528">
      <w:pPr>
        <w:pStyle w:val="ListParagraph"/>
        <w:numPr>
          <w:ilvl w:val="1"/>
          <w:numId w:val="2"/>
        </w:numPr>
        <w:rPr>
          <w:rFonts w:ascii="Tahoma" w:hAnsi="Tahoma" w:cs="Tahoma"/>
        </w:rPr>
      </w:pPr>
      <w:r w:rsidRPr="006C5EDD">
        <w:rPr>
          <w:rFonts w:ascii="Tahoma" w:hAnsi="Tahoma" w:cs="Tahoma"/>
        </w:rPr>
        <w:t>Nature of the sanctionable act(s)</w:t>
      </w:r>
    </w:p>
    <w:p w14:paraId="348C26AB" w14:textId="77777777" w:rsidR="00505CCC" w:rsidRPr="006C5EDD" w:rsidRDefault="00505CCC" w:rsidP="00D47528">
      <w:pPr>
        <w:pStyle w:val="ListParagraph"/>
        <w:numPr>
          <w:ilvl w:val="1"/>
          <w:numId w:val="2"/>
        </w:numPr>
        <w:rPr>
          <w:rFonts w:ascii="Tahoma" w:hAnsi="Tahoma" w:cs="Tahoma"/>
        </w:rPr>
      </w:pPr>
      <w:r w:rsidRPr="006C5EDD">
        <w:rPr>
          <w:rFonts w:ascii="Tahoma" w:hAnsi="Tahoma" w:cs="Tahoma"/>
        </w:rPr>
        <w:t>Severity of the sanctionable act(s)</w:t>
      </w:r>
    </w:p>
    <w:p w14:paraId="7FB43440" w14:textId="77777777" w:rsidR="00505CCC" w:rsidRPr="006C5EDD" w:rsidRDefault="00505CCC" w:rsidP="00D47528">
      <w:pPr>
        <w:pStyle w:val="ListParagraph"/>
        <w:numPr>
          <w:ilvl w:val="1"/>
          <w:numId w:val="2"/>
        </w:numPr>
        <w:rPr>
          <w:rFonts w:ascii="Tahoma" w:hAnsi="Tahoma" w:cs="Tahoma"/>
        </w:rPr>
      </w:pPr>
      <w:r w:rsidRPr="006C5EDD">
        <w:rPr>
          <w:rFonts w:ascii="Tahoma" w:hAnsi="Tahoma" w:cs="Tahoma"/>
        </w:rPr>
        <w:t>Frequency of the sanctionable act(s)</w:t>
      </w:r>
    </w:p>
    <w:p w14:paraId="3F457C0D" w14:textId="77777777" w:rsidR="00505CCC" w:rsidRPr="006C5EDD" w:rsidRDefault="00505CCC" w:rsidP="00D47528">
      <w:pPr>
        <w:pStyle w:val="ListParagraph"/>
        <w:numPr>
          <w:ilvl w:val="1"/>
          <w:numId w:val="2"/>
        </w:numPr>
        <w:rPr>
          <w:rFonts w:ascii="Tahoma" w:hAnsi="Tahoma" w:cs="Tahoma"/>
        </w:rPr>
      </w:pPr>
      <w:r w:rsidRPr="006C5EDD">
        <w:rPr>
          <w:rFonts w:ascii="Tahoma" w:hAnsi="Tahoma" w:cs="Tahoma"/>
        </w:rPr>
        <w:t>Cause of the sanctionable act(s) (e.g., neglect, intent)</w:t>
      </w:r>
    </w:p>
    <w:p w14:paraId="67B4E1DA" w14:textId="77777777" w:rsidR="00D47528" w:rsidRPr="006C5EDD" w:rsidRDefault="00505CCC" w:rsidP="00505CCC">
      <w:pPr>
        <w:pStyle w:val="ListParagraph"/>
        <w:numPr>
          <w:ilvl w:val="1"/>
          <w:numId w:val="2"/>
        </w:numPr>
        <w:rPr>
          <w:rFonts w:ascii="Tahoma" w:hAnsi="Tahoma" w:cs="Tahoma"/>
        </w:rPr>
      </w:pPr>
      <w:r w:rsidRPr="006C5EDD">
        <w:rPr>
          <w:rFonts w:ascii="Tahoma" w:hAnsi="Tahoma" w:cs="Tahoma"/>
        </w:rPr>
        <w:t>History of the subrecipient regarding its ability to administer a program (e.g., occurrences of sanctionable acts, resolution of sanctions and sanctionable acts, efforts to prevent the occurrence of the sanctionable acts, and oversight results)</w:t>
      </w:r>
    </w:p>
    <w:p w14:paraId="21494DF3" w14:textId="77777777" w:rsidR="00D47528" w:rsidRPr="006C5EDD" w:rsidRDefault="00D47528" w:rsidP="00D47528">
      <w:pPr>
        <w:pStyle w:val="ListParagraph"/>
        <w:ind w:left="1440"/>
        <w:rPr>
          <w:rFonts w:ascii="Tahoma" w:hAnsi="Tahoma" w:cs="Tahoma"/>
        </w:rPr>
      </w:pPr>
    </w:p>
    <w:p w14:paraId="14403062" w14:textId="77777777" w:rsidR="00505CCC" w:rsidRPr="006C5EDD" w:rsidRDefault="00505CCC" w:rsidP="00D47528">
      <w:pPr>
        <w:pStyle w:val="ListParagraph"/>
        <w:numPr>
          <w:ilvl w:val="0"/>
          <w:numId w:val="2"/>
        </w:numPr>
        <w:rPr>
          <w:rFonts w:ascii="Tahoma" w:hAnsi="Tahoma" w:cs="Tahoma"/>
        </w:rPr>
      </w:pPr>
      <w:r w:rsidRPr="006C5EDD">
        <w:rPr>
          <w:rFonts w:ascii="Tahoma" w:hAnsi="Tahoma" w:cs="Tahoma"/>
        </w:rPr>
        <w:t>Other criteria not listed that may be deemed appropriate (e.g., justification for subrecipient's failure to provide necessary information or take required action, or demonstrations of willingness by the subrecipient to cooperate in the sanction process)</w:t>
      </w:r>
    </w:p>
    <w:p w14:paraId="7D8CCF8D" w14:textId="77777777" w:rsidR="00505CCC" w:rsidRPr="006C5EDD" w:rsidRDefault="00505CCC" w:rsidP="00505CCC">
      <w:pPr>
        <w:rPr>
          <w:rFonts w:ascii="Tahoma" w:hAnsi="Tahoma" w:cs="Tahoma"/>
        </w:rPr>
      </w:pPr>
    </w:p>
    <w:p w14:paraId="023A9ACB" w14:textId="508C7E2D" w:rsidR="00505CCC" w:rsidRPr="006C5EDD" w:rsidRDefault="00505CCC" w:rsidP="00505CCC">
      <w:pPr>
        <w:rPr>
          <w:rFonts w:ascii="Tahoma" w:hAnsi="Tahoma" w:cs="Tahoma"/>
        </w:rPr>
      </w:pPr>
      <w:r w:rsidRPr="006C5EDD">
        <w:rPr>
          <w:rFonts w:ascii="Tahoma" w:hAnsi="Tahoma" w:cs="Tahoma"/>
        </w:rPr>
        <w:t>Failure to comply with the terms of the Notice of Sanction can result in additional sanctions. If a subrecipient chooses to appeal a Notice of Sanction, the subrecipient may do so according to the appeals procedure described in the Appeals section below.</w:t>
      </w:r>
    </w:p>
    <w:p w14:paraId="1D512155" w14:textId="77777777" w:rsidR="00D47528" w:rsidRPr="00117558" w:rsidRDefault="00D47528" w:rsidP="00505CCC">
      <w:pPr>
        <w:rPr>
          <w:rFonts w:ascii="Tahoma" w:hAnsi="Tahoma" w:cs="Tahoma"/>
          <w:u w:val="single"/>
        </w:rPr>
      </w:pPr>
    </w:p>
    <w:p w14:paraId="4C788D93" w14:textId="696D53B2" w:rsidR="00505CCC" w:rsidRPr="00117558" w:rsidRDefault="00505CCC" w:rsidP="00505CCC">
      <w:pPr>
        <w:rPr>
          <w:rFonts w:ascii="Tahoma" w:hAnsi="Tahoma" w:cs="Tahoma"/>
          <w:b/>
          <w:u w:val="single"/>
        </w:rPr>
      </w:pPr>
      <w:r w:rsidRPr="00117558">
        <w:rPr>
          <w:rFonts w:ascii="Tahoma" w:hAnsi="Tahoma" w:cs="Tahoma"/>
          <w:b/>
          <w:u w:val="single"/>
        </w:rPr>
        <w:t>Step 4: Notice of Resolution of Sanctionable Act</w:t>
      </w:r>
    </w:p>
    <w:p w14:paraId="47DC2D20" w14:textId="77777777" w:rsidR="00505CCC" w:rsidRPr="006C5EDD" w:rsidRDefault="00505CCC" w:rsidP="00505CCC">
      <w:pPr>
        <w:rPr>
          <w:rFonts w:ascii="Tahoma" w:hAnsi="Tahoma" w:cs="Tahoma"/>
        </w:rPr>
      </w:pPr>
      <w:r w:rsidRPr="006C5EDD">
        <w:rPr>
          <w:rFonts w:ascii="Tahoma" w:hAnsi="Tahoma" w:cs="Tahoma"/>
        </w:rPr>
        <w:t xml:space="preserve">Upon completion of the terms of the Notice of Sanction, </w:t>
      </w:r>
      <w:r w:rsidR="00D47528" w:rsidRPr="006C5EDD">
        <w:rPr>
          <w:rFonts w:ascii="Tahoma" w:hAnsi="Tahoma" w:cs="Tahoma"/>
        </w:rPr>
        <w:t>OWI</w:t>
      </w:r>
      <w:r w:rsidRPr="006C5EDD">
        <w:rPr>
          <w:rFonts w:ascii="Tahoma" w:hAnsi="Tahoma" w:cs="Tahoma"/>
        </w:rPr>
        <w:t xml:space="preserve"> will issue a Notice of Resolution of Sanctionable Act to the subrecipient and/or to the signatory official, the CEO, the LWDB Chairperson, the LWD</w:t>
      </w:r>
      <w:r w:rsidR="00D47528" w:rsidRPr="006C5EDD">
        <w:rPr>
          <w:rFonts w:ascii="Tahoma" w:hAnsi="Tahoma" w:cs="Tahoma"/>
        </w:rPr>
        <w:t>B</w:t>
      </w:r>
      <w:r w:rsidRPr="006C5EDD">
        <w:rPr>
          <w:rFonts w:ascii="Tahoma" w:hAnsi="Tahoma" w:cs="Tahoma"/>
        </w:rPr>
        <w:t xml:space="preserve"> </w:t>
      </w:r>
      <w:r w:rsidR="00D47528" w:rsidRPr="006C5EDD">
        <w:rPr>
          <w:rFonts w:ascii="Tahoma" w:hAnsi="Tahoma" w:cs="Tahoma"/>
        </w:rPr>
        <w:t>Director</w:t>
      </w:r>
      <w:r w:rsidRPr="006C5EDD">
        <w:rPr>
          <w:rFonts w:ascii="Tahoma" w:hAnsi="Tahoma" w:cs="Tahoma"/>
        </w:rPr>
        <w:t xml:space="preserve">, and the </w:t>
      </w:r>
      <w:r w:rsidR="00D47528" w:rsidRPr="006C5EDD">
        <w:rPr>
          <w:rFonts w:ascii="Tahoma" w:hAnsi="Tahoma" w:cs="Tahoma"/>
        </w:rPr>
        <w:t>WTDB</w:t>
      </w:r>
      <w:r w:rsidRPr="006C5EDD">
        <w:rPr>
          <w:rFonts w:ascii="Tahoma" w:hAnsi="Tahoma" w:cs="Tahoma"/>
        </w:rPr>
        <w:t xml:space="preserve"> Chairperson.</w:t>
      </w:r>
    </w:p>
    <w:p w14:paraId="64BBED9A" w14:textId="77777777" w:rsidR="00505CCC" w:rsidRPr="006C5EDD" w:rsidRDefault="00505CCC">
      <w:pPr>
        <w:rPr>
          <w:rFonts w:ascii="Tahoma" w:hAnsi="Tahoma" w:cs="Tahoma"/>
        </w:rPr>
      </w:pPr>
    </w:p>
    <w:p w14:paraId="7A3321E8" w14:textId="38D16D19" w:rsidR="00505CCC" w:rsidRPr="00117558" w:rsidRDefault="00505CCC">
      <w:pPr>
        <w:rPr>
          <w:u w:val="single"/>
        </w:rPr>
      </w:pPr>
      <w:r w:rsidRPr="006C5EDD">
        <w:rPr>
          <w:rFonts w:ascii="Tahoma" w:hAnsi="Tahoma" w:cs="Tahoma"/>
        </w:rPr>
        <w:t>Note: Timelines for completion of each step are to be determined based on the type of sanctionable act and appropriate times necessary for resolution of the sanctionable act.</w:t>
      </w:r>
    </w:p>
    <w:p w14:paraId="16A8AE4E" w14:textId="77777777" w:rsidR="00D47528" w:rsidRPr="00117558" w:rsidRDefault="00D47528">
      <w:pPr>
        <w:rPr>
          <w:u w:val="single"/>
        </w:rPr>
      </w:pPr>
    </w:p>
    <w:p w14:paraId="6033A4E6" w14:textId="77777777" w:rsidR="00505CCC" w:rsidRPr="00117558" w:rsidRDefault="00505CCC" w:rsidP="00505CCC">
      <w:pPr>
        <w:spacing w:line="276" w:lineRule="auto"/>
        <w:rPr>
          <w:rFonts w:ascii="Tahoma" w:hAnsi="Tahoma" w:cs="Tahoma"/>
          <w:b/>
          <w:u w:val="single"/>
        </w:rPr>
      </w:pPr>
      <w:r w:rsidRPr="00117558">
        <w:rPr>
          <w:rFonts w:ascii="Tahoma" w:hAnsi="Tahoma" w:cs="Tahoma"/>
          <w:b/>
          <w:u w:val="single"/>
        </w:rPr>
        <w:t>Appeals</w:t>
      </w:r>
    </w:p>
    <w:p w14:paraId="3849FF18" w14:textId="44320456" w:rsidR="00505CCC" w:rsidRPr="006C5EDD" w:rsidRDefault="00505CCC" w:rsidP="00505CCC">
      <w:pPr>
        <w:spacing w:line="276" w:lineRule="auto"/>
        <w:rPr>
          <w:rFonts w:ascii="Tahoma" w:hAnsi="Tahoma" w:cs="Tahoma"/>
        </w:rPr>
      </w:pPr>
      <w:r w:rsidRPr="006C5EDD">
        <w:rPr>
          <w:rFonts w:ascii="Tahoma" w:hAnsi="Tahoma" w:cs="Tahoma"/>
        </w:rPr>
        <w:t xml:space="preserve">A subrecipient that receives a Notice of Sanction may file an appeal </w:t>
      </w:r>
      <w:r w:rsidR="00117558" w:rsidRPr="006C5EDD">
        <w:rPr>
          <w:rFonts w:ascii="Tahoma" w:hAnsi="Tahoma" w:cs="Tahoma"/>
        </w:rPr>
        <w:t xml:space="preserve">of </w:t>
      </w:r>
      <w:r w:rsidR="00DD3662" w:rsidRPr="006C5EDD">
        <w:rPr>
          <w:rFonts w:ascii="Tahoma" w:hAnsi="Tahoma" w:cs="Tahoma"/>
        </w:rPr>
        <w:t xml:space="preserve">the sanction(s) imposed, but not the initial incident(s) of non-compliance, </w:t>
      </w:r>
      <w:r w:rsidRPr="006C5EDD">
        <w:rPr>
          <w:rFonts w:ascii="Tahoma" w:hAnsi="Tahoma" w:cs="Tahoma"/>
        </w:rPr>
        <w:t>with OWI and the Workforce and Talent Development Board (WTDB). A subrecipient choosing to appeal must submit a written appeal to the O</w:t>
      </w:r>
      <w:r w:rsidR="00F96D6B" w:rsidRPr="006C5EDD">
        <w:rPr>
          <w:rFonts w:ascii="Tahoma" w:hAnsi="Tahoma" w:cs="Tahoma"/>
        </w:rPr>
        <w:t>WI</w:t>
      </w:r>
      <w:r w:rsidRPr="006C5EDD">
        <w:rPr>
          <w:rFonts w:ascii="Tahoma" w:hAnsi="Tahoma" w:cs="Tahoma"/>
        </w:rPr>
        <w:t xml:space="preserve"> within 30 calendar days of the issuance of the Notice of Sanction. If the 30th day falls on a weekend or holiday, the deadline will be extended to the next business day. Appeals must be submitted by registered mail, clearly identified as "Dated Material," and addressed to:</w:t>
      </w:r>
    </w:p>
    <w:p w14:paraId="09CC1902" w14:textId="77777777" w:rsidR="00505CCC" w:rsidRPr="006C5EDD" w:rsidRDefault="00505CCC" w:rsidP="00505CCC">
      <w:pPr>
        <w:spacing w:line="276" w:lineRule="auto"/>
        <w:rPr>
          <w:rFonts w:ascii="Tahoma" w:hAnsi="Tahoma" w:cs="Tahoma"/>
        </w:rPr>
      </w:pPr>
    </w:p>
    <w:p w14:paraId="75E81AAB" w14:textId="77777777" w:rsidR="00505CCC" w:rsidRPr="006C5EDD" w:rsidRDefault="00505CCC" w:rsidP="00505CCC">
      <w:pPr>
        <w:spacing w:line="276" w:lineRule="auto"/>
        <w:rPr>
          <w:rFonts w:ascii="Tahoma" w:hAnsi="Tahoma" w:cs="Tahoma"/>
        </w:rPr>
      </w:pPr>
      <w:r w:rsidRPr="006C5EDD">
        <w:rPr>
          <w:rFonts w:ascii="Tahoma" w:hAnsi="Tahoma" w:cs="Tahoma"/>
        </w:rPr>
        <w:t>Workforce Programs Director</w:t>
      </w:r>
    </w:p>
    <w:p w14:paraId="6454141F" w14:textId="77777777" w:rsidR="00505CCC" w:rsidRPr="006C5EDD" w:rsidRDefault="00505CCC" w:rsidP="00505CCC">
      <w:pPr>
        <w:spacing w:line="276" w:lineRule="auto"/>
        <w:rPr>
          <w:rFonts w:ascii="Tahoma" w:hAnsi="Tahoma" w:cs="Tahoma"/>
        </w:rPr>
      </w:pPr>
      <w:r w:rsidRPr="006C5EDD">
        <w:rPr>
          <w:rFonts w:ascii="Tahoma" w:hAnsi="Tahoma" w:cs="Tahoma"/>
        </w:rPr>
        <w:t>Office of Workforce Investments</w:t>
      </w:r>
    </w:p>
    <w:p w14:paraId="0894C8CD" w14:textId="77777777" w:rsidR="00505CCC" w:rsidRPr="006C5EDD" w:rsidRDefault="00505CCC" w:rsidP="00505CCC">
      <w:pPr>
        <w:spacing w:line="276" w:lineRule="auto"/>
        <w:rPr>
          <w:rFonts w:ascii="Tahoma" w:hAnsi="Tahoma" w:cs="Tahoma"/>
        </w:rPr>
      </w:pPr>
      <w:r w:rsidRPr="006C5EDD">
        <w:rPr>
          <w:rFonts w:ascii="Tahoma" w:hAnsi="Tahoma" w:cs="Tahoma"/>
        </w:rPr>
        <w:t>3225 25th Street SE</w:t>
      </w:r>
    </w:p>
    <w:p w14:paraId="4EE8044A" w14:textId="5C608C50" w:rsidR="00505CCC" w:rsidRPr="006C5EDD" w:rsidRDefault="00505CCC" w:rsidP="00505CCC">
      <w:pPr>
        <w:spacing w:line="276" w:lineRule="auto"/>
        <w:rPr>
          <w:rFonts w:ascii="Tahoma" w:hAnsi="Tahoma" w:cs="Tahoma"/>
        </w:rPr>
      </w:pPr>
      <w:r w:rsidRPr="006C5EDD">
        <w:rPr>
          <w:rFonts w:ascii="Tahoma" w:hAnsi="Tahoma" w:cs="Tahoma"/>
        </w:rPr>
        <w:t>Salem, O</w:t>
      </w:r>
      <w:r w:rsidR="00117558" w:rsidRPr="006C5EDD">
        <w:rPr>
          <w:rFonts w:ascii="Tahoma" w:hAnsi="Tahoma" w:cs="Tahoma"/>
        </w:rPr>
        <w:t>R</w:t>
      </w:r>
      <w:r w:rsidRPr="006C5EDD">
        <w:rPr>
          <w:rFonts w:ascii="Tahoma" w:hAnsi="Tahoma" w:cs="Tahoma"/>
        </w:rPr>
        <w:t xml:space="preserve"> 97302</w:t>
      </w:r>
      <w:r w:rsidRPr="006C5EDD">
        <w:rPr>
          <w:rFonts w:ascii="Tahoma" w:hAnsi="Tahoma" w:cs="Tahoma"/>
        </w:rPr>
        <w:cr/>
      </w:r>
    </w:p>
    <w:p w14:paraId="35F95DFB" w14:textId="77777777" w:rsidR="00505CCC" w:rsidRPr="006C5EDD" w:rsidRDefault="00505CCC" w:rsidP="00505CCC">
      <w:pPr>
        <w:spacing w:line="276" w:lineRule="auto"/>
        <w:rPr>
          <w:rFonts w:ascii="Tahoma" w:hAnsi="Tahoma" w:cs="Tahoma"/>
        </w:rPr>
      </w:pPr>
      <w:r w:rsidRPr="006C5EDD">
        <w:rPr>
          <w:rFonts w:ascii="Tahoma" w:hAnsi="Tahoma" w:cs="Tahoma"/>
        </w:rPr>
        <w:t>The following procedures will apply:</w:t>
      </w:r>
    </w:p>
    <w:p w14:paraId="3A972A85" w14:textId="77777777" w:rsidR="00505CCC" w:rsidRPr="006C5EDD" w:rsidRDefault="00505CCC" w:rsidP="00505CCC">
      <w:pPr>
        <w:pStyle w:val="ListParagraph"/>
        <w:numPr>
          <w:ilvl w:val="0"/>
          <w:numId w:val="1"/>
        </w:numPr>
        <w:spacing w:line="276" w:lineRule="auto"/>
        <w:rPr>
          <w:rFonts w:ascii="Tahoma" w:hAnsi="Tahoma" w:cs="Tahoma"/>
        </w:rPr>
      </w:pPr>
      <w:r w:rsidRPr="006C5EDD">
        <w:rPr>
          <w:rFonts w:ascii="Tahoma" w:hAnsi="Tahoma" w:cs="Tahoma"/>
        </w:rPr>
        <w:t>The WTDB will designate the Executive Committee or an Ad Hoc Committee of at least three WTDB members to hear the appeal.</w:t>
      </w:r>
    </w:p>
    <w:p w14:paraId="5446FCF8" w14:textId="77777777" w:rsidR="00505CCC" w:rsidRPr="006C5EDD" w:rsidRDefault="00505CCC" w:rsidP="00505CCC">
      <w:pPr>
        <w:pStyle w:val="ListParagraph"/>
        <w:numPr>
          <w:ilvl w:val="0"/>
          <w:numId w:val="1"/>
        </w:numPr>
        <w:spacing w:line="276" w:lineRule="auto"/>
        <w:rPr>
          <w:rFonts w:ascii="Tahoma" w:hAnsi="Tahoma" w:cs="Tahoma"/>
        </w:rPr>
      </w:pPr>
      <w:r w:rsidRPr="006C5EDD">
        <w:rPr>
          <w:rFonts w:ascii="Tahoma" w:hAnsi="Tahoma" w:cs="Tahoma"/>
        </w:rPr>
        <w:lastRenderedPageBreak/>
        <w:t>The designated WTDB representatives will hear the appeal and issue a written decision within 60 business days.</w:t>
      </w:r>
    </w:p>
    <w:p w14:paraId="426388F7" w14:textId="77777777" w:rsidR="00505CCC" w:rsidRPr="006C5EDD" w:rsidRDefault="00505CCC" w:rsidP="00505CCC">
      <w:pPr>
        <w:spacing w:line="276" w:lineRule="auto"/>
        <w:rPr>
          <w:rFonts w:ascii="Tahoma" w:hAnsi="Tahoma" w:cs="Tahoma"/>
        </w:rPr>
      </w:pPr>
    </w:p>
    <w:p w14:paraId="7F8A4185" w14:textId="573E8AD9" w:rsidR="00505CCC" w:rsidRPr="006C5EDD" w:rsidRDefault="00505CCC" w:rsidP="00505CCC">
      <w:pPr>
        <w:spacing w:line="276" w:lineRule="auto"/>
        <w:rPr>
          <w:rFonts w:ascii="Tahoma" w:hAnsi="Tahoma" w:cs="Tahoma"/>
        </w:rPr>
      </w:pPr>
      <w:r w:rsidRPr="006C5EDD">
        <w:rPr>
          <w:rFonts w:ascii="Tahoma" w:hAnsi="Tahoma" w:cs="Tahoma"/>
        </w:rPr>
        <w:t xml:space="preserve">A local WDB which has been found in substantial violation of WIOA </w:t>
      </w:r>
      <w:r w:rsidR="00117558" w:rsidRPr="006C5EDD">
        <w:rPr>
          <w:rFonts w:ascii="Tahoma" w:hAnsi="Tahoma" w:cs="Tahoma"/>
        </w:rPr>
        <w:t>T</w:t>
      </w:r>
      <w:r w:rsidRPr="006C5EDD">
        <w:rPr>
          <w:rFonts w:ascii="Tahoma" w:hAnsi="Tahoma" w:cs="Tahoma"/>
        </w:rPr>
        <w:t xml:space="preserve">itle I, and has received notice from the Governor (or OWI on behalf of the Governor) that either all or part of the local plan will be revoked or that a reorganization will occur, may appeal such sanctions to the Secretary of Labor under WIOA </w:t>
      </w:r>
      <w:r w:rsidR="00117558" w:rsidRPr="006C5EDD">
        <w:rPr>
          <w:rFonts w:ascii="Tahoma" w:hAnsi="Tahoma" w:cs="Tahoma"/>
        </w:rPr>
        <w:t>Section</w:t>
      </w:r>
      <w:r w:rsidRPr="006C5EDD">
        <w:rPr>
          <w:rFonts w:ascii="Tahoma" w:hAnsi="Tahoma" w:cs="Tahoma"/>
        </w:rPr>
        <w:t xml:space="preserve"> 184(b). The appeal must be filed no later than 30 days after receipt of written notification of the revoked plan or imposed reorganization. Further details are at </w:t>
      </w:r>
      <w:hyperlink r:id="rId7" w:history="1">
        <w:r w:rsidRPr="006C5EDD">
          <w:rPr>
            <w:rStyle w:val="Hyperlink"/>
            <w:rFonts w:ascii="Tahoma" w:hAnsi="Tahoma" w:cs="Tahoma"/>
            <w:u w:val="none"/>
          </w:rPr>
          <w:t>20 CFR 683.650</w:t>
        </w:r>
      </w:hyperlink>
      <w:r w:rsidRPr="006C5EDD">
        <w:rPr>
          <w:rFonts w:ascii="Tahoma" w:hAnsi="Tahoma" w:cs="Tahoma"/>
        </w:rPr>
        <w:t>.</w:t>
      </w:r>
    </w:p>
    <w:sectPr w:rsidR="00505CCC" w:rsidRPr="006C5E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56F3" w16cex:dateUtc="2022-04-26T18:33:00Z"/>
  <w16cex:commentExtensible w16cex:durableId="2612571C" w16cex:dateUtc="2022-04-26T18:33:00Z"/>
  <w16cex:commentExtensible w16cex:durableId="26125D3E" w16cex:dateUtc="2022-04-26T18:59:00Z"/>
  <w16cex:commentExtensible w16cex:durableId="26125813" w16cex:dateUtc="2022-04-26T18:37:00Z"/>
  <w16cex:commentExtensible w16cex:durableId="2612578F" w16cex:dateUtc="2022-04-26T18:35:00Z"/>
  <w16cex:commentExtensible w16cex:durableId="26125847" w16cex:dateUtc="2022-04-26T18:38:00Z"/>
  <w16cex:commentExtensible w16cex:durableId="26125907" w16cex:dateUtc="2022-04-26T18:41:00Z"/>
  <w16cex:commentExtensible w16cex:durableId="26125A9D" w16cex:dateUtc="2022-04-26T1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4DE7" w14:textId="77777777" w:rsidR="00420A1F" w:rsidRDefault="00420A1F" w:rsidP="00FC66C2">
      <w:r>
        <w:separator/>
      </w:r>
    </w:p>
  </w:endnote>
  <w:endnote w:type="continuationSeparator" w:id="0">
    <w:p w14:paraId="256EB274" w14:textId="77777777" w:rsidR="00420A1F" w:rsidRDefault="00420A1F" w:rsidP="00FC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BF20" w14:textId="77777777" w:rsidR="00FC66C2" w:rsidRDefault="00FC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2007" w14:textId="77777777" w:rsidR="00FC66C2" w:rsidRDefault="00FC6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3D69" w14:textId="77777777" w:rsidR="00FC66C2" w:rsidRDefault="00FC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7BC93" w14:textId="77777777" w:rsidR="00420A1F" w:rsidRDefault="00420A1F" w:rsidP="00FC66C2">
      <w:r>
        <w:separator/>
      </w:r>
    </w:p>
  </w:footnote>
  <w:footnote w:type="continuationSeparator" w:id="0">
    <w:p w14:paraId="7F65E21C" w14:textId="77777777" w:rsidR="00420A1F" w:rsidRDefault="00420A1F" w:rsidP="00FC6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D28D" w14:textId="77777777" w:rsidR="00FC66C2" w:rsidRDefault="00FC6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40204" w14:textId="29DFA6E5" w:rsidR="00FC66C2" w:rsidRDefault="00FC6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653F" w14:textId="77777777" w:rsidR="00FC66C2" w:rsidRDefault="00FC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41723"/>
    <w:multiLevelType w:val="hybridMultilevel"/>
    <w:tmpl w:val="A09AA3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501BF"/>
    <w:multiLevelType w:val="hybridMultilevel"/>
    <w:tmpl w:val="61347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97"/>
    <w:rsid w:val="00117558"/>
    <w:rsid w:val="00120DA4"/>
    <w:rsid w:val="00181852"/>
    <w:rsid w:val="001C4E6F"/>
    <w:rsid w:val="001D5FD6"/>
    <w:rsid w:val="001E2892"/>
    <w:rsid w:val="001E6004"/>
    <w:rsid w:val="00262106"/>
    <w:rsid w:val="003203F0"/>
    <w:rsid w:val="00420A1F"/>
    <w:rsid w:val="00505CCC"/>
    <w:rsid w:val="005B44CB"/>
    <w:rsid w:val="00642236"/>
    <w:rsid w:val="00655757"/>
    <w:rsid w:val="00673185"/>
    <w:rsid w:val="006C5EDD"/>
    <w:rsid w:val="007A0A90"/>
    <w:rsid w:val="007B1F26"/>
    <w:rsid w:val="0081505F"/>
    <w:rsid w:val="00841A9D"/>
    <w:rsid w:val="008A6F6E"/>
    <w:rsid w:val="00923CE7"/>
    <w:rsid w:val="009346BB"/>
    <w:rsid w:val="009D20AA"/>
    <w:rsid w:val="009E61EB"/>
    <w:rsid w:val="00A4009A"/>
    <w:rsid w:val="00BD628C"/>
    <w:rsid w:val="00C9688B"/>
    <w:rsid w:val="00CF0F97"/>
    <w:rsid w:val="00D47528"/>
    <w:rsid w:val="00D8407F"/>
    <w:rsid w:val="00DA274E"/>
    <w:rsid w:val="00DC23AA"/>
    <w:rsid w:val="00DC5785"/>
    <w:rsid w:val="00DD3662"/>
    <w:rsid w:val="00EF608F"/>
    <w:rsid w:val="00F96D6B"/>
    <w:rsid w:val="00FB650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6DBED"/>
  <w15:chartTrackingRefBased/>
  <w15:docId w15:val="{5A3BF9BB-C8F7-456A-B116-2BB22FF9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CCC"/>
    <w:rPr>
      <w:color w:val="1F3864" w:themeColor="accent1" w:themeShade="80"/>
      <w:u w:val="single"/>
    </w:rPr>
  </w:style>
  <w:style w:type="paragraph" w:styleId="ListParagraph">
    <w:name w:val="List Paragraph"/>
    <w:basedOn w:val="Normal"/>
    <w:uiPriority w:val="34"/>
    <w:unhideWhenUsed/>
    <w:qFormat/>
    <w:rsid w:val="00505CCC"/>
    <w:pPr>
      <w:ind w:left="720"/>
      <w:contextualSpacing/>
    </w:pPr>
  </w:style>
  <w:style w:type="paragraph" w:styleId="Header">
    <w:name w:val="header"/>
    <w:basedOn w:val="Normal"/>
    <w:link w:val="HeaderChar"/>
    <w:uiPriority w:val="99"/>
    <w:unhideWhenUsed/>
    <w:rsid w:val="00FC66C2"/>
    <w:pPr>
      <w:tabs>
        <w:tab w:val="center" w:pos="4680"/>
        <w:tab w:val="right" w:pos="9360"/>
      </w:tabs>
    </w:pPr>
  </w:style>
  <w:style w:type="character" w:customStyle="1" w:styleId="HeaderChar">
    <w:name w:val="Header Char"/>
    <w:basedOn w:val="DefaultParagraphFont"/>
    <w:link w:val="Header"/>
    <w:uiPriority w:val="99"/>
    <w:rsid w:val="00FC66C2"/>
  </w:style>
  <w:style w:type="paragraph" w:styleId="Footer">
    <w:name w:val="footer"/>
    <w:basedOn w:val="Normal"/>
    <w:link w:val="FooterChar"/>
    <w:uiPriority w:val="99"/>
    <w:unhideWhenUsed/>
    <w:rsid w:val="00FC66C2"/>
    <w:pPr>
      <w:tabs>
        <w:tab w:val="center" w:pos="4680"/>
        <w:tab w:val="right" w:pos="9360"/>
      </w:tabs>
    </w:pPr>
  </w:style>
  <w:style w:type="character" w:customStyle="1" w:styleId="FooterChar">
    <w:name w:val="Footer Char"/>
    <w:basedOn w:val="DefaultParagraphFont"/>
    <w:link w:val="Footer"/>
    <w:uiPriority w:val="99"/>
    <w:rsid w:val="00FC66C2"/>
  </w:style>
  <w:style w:type="character" w:styleId="CommentReference">
    <w:name w:val="annotation reference"/>
    <w:basedOn w:val="DefaultParagraphFont"/>
    <w:uiPriority w:val="99"/>
    <w:semiHidden/>
    <w:unhideWhenUsed/>
    <w:rsid w:val="009D20AA"/>
    <w:rPr>
      <w:sz w:val="16"/>
      <w:szCs w:val="16"/>
    </w:rPr>
  </w:style>
  <w:style w:type="paragraph" w:styleId="CommentText">
    <w:name w:val="annotation text"/>
    <w:basedOn w:val="Normal"/>
    <w:link w:val="CommentTextChar"/>
    <w:uiPriority w:val="99"/>
    <w:semiHidden/>
    <w:unhideWhenUsed/>
    <w:rsid w:val="009D20AA"/>
    <w:rPr>
      <w:sz w:val="20"/>
      <w:szCs w:val="20"/>
    </w:rPr>
  </w:style>
  <w:style w:type="character" w:customStyle="1" w:styleId="CommentTextChar">
    <w:name w:val="Comment Text Char"/>
    <w:basedOn w:val="DefaultParagraphFont"/>
    <w:link w:val="CommentText"/>
    <w:uiPriority w:val="99"/>
    <w:semiHidden/>
    <w:rsid w:val="009D20AA"/>
    <w:rPr>
      <w:sz w:val="20"/>
      <w:szCs w:val="20"/>
    </w:rPr>
  </w:style>
  <w:style w:type="paragraph" w:styleId="CommentSubject">
    <w:name w:val="annotation subject"/>
    <w:basedOn w:val="CommentText"/>
    <w:next w:val="CommentText"/>
    <w:link w:val="CommentSubjectChar"/>
    <w:uiPriority w:val="99"/>
    <w:semiHidden/>
    <w:unhideWhenUsed/>
    <w:rsid w:val="009D20AA"/>
    <w:rPr>
      <w:b/>
      <w:bCs/>
    </w:rPr>
  </w:style>
  <w:style w:type="character" w:customStyle="1" w:styleId="CommentSubjectChar">
    <w:name w:val="Comment Subject Char"/>
    <w:basedOn w:val="CommentTextChar"/>
    <w:link w:val="CommentSubject"/>
    <w:uiPriority w:val="99"/>
    <w:semiHidden/>
    <w:rsid w:val="009D20AA"/>
    <w:rPr>
      <w:b/>
      <w:bCs/>
      <w:sz w:val="20"/>
      <w:szCs w:val="20"/>
    </w:rPr>
  </w:style>
  <w:style w:type="paragraph" w:styleId="BalloonText">
    <w:name w:val="Balloon Text"/>
    <w:basedOn w:val="Normal"/>
    <w:link w:val="BalloonTextChar"/>
    <w:uiPriority w:val="99"/>
    <w:semiHidden/>
    <w:unhideWhenUsed/>
    <w:rsid w:val="00BD6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cfr.gov/current/title-20/chapter-V/part-683/subpart-F/section-683.650"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TACKMAN Kurt R * HECC</dc:creator>
  <cp:keywords/>
  <dc:description/>
  <cp:lastModifiedBy>FITZGERALD Theresa * HECC</cp:lastModifiedBy>
  <cp:revision>7</cp:revision>
  <dcterms:created xsi:type="dcterms:W3CDTF">2022-08-18T14:44:00Z</dcterms:created>
  <dcterms:modified xsi:type="dcterms:W3CDTF">2022-08-18T15:40:00Z</dcterms:modified>
</cp:coreProperties>
</file>