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0C5B" w14:textId="11C956D8" w:rsidR="0000272F" w:rsidRPr="00C8718B" w:rsidRDefault="0000272F"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t>Overview</w:t>
      </w:r>
    </w:p>
    <w:p w14:paraId="0E5D16E7" w14:textId="77777777" w:rsidR="007524DA" w:rsidRPr="007524DA" w:rsidRDefault="007524DA" w:rsidP="007524DA">
      <w:pPr>
        <w:pStyle w:val="BodyText"/>
        <w:spacing w:before="26" w:line="271" w:lineRule="auto"/>
        <w:ind w:right="258"/>
        <w:rPr>
          <w:rFonts w:ascii="Tahoma" w:hAnsi="Tahoma" w:cs="Tahoma"/>
        </w:rPr>
      </w:pPr>
      <w:r w:rsidRPr="007524DA">
        <w:rPr>
          <w:rFonts w:ascii="Tahoma" w:hAnsi="Tahoma" w:cs="Tahoma"/>
        </w:rPr>
        <w:t xml:space="preserve">The One-Stop Operator coordinates the service delivery of participating </w:t>
      </w:r>
      <w:proofErr w:type="spellStart"/>
      <w:r w:rsidRPr="007524DA">
        <w:rPr>
          <w:rFonts w:ascii="Tahoma" w:hAnsi="Tahoma" w:cs="Tahoma"/>
        </w:rPr>
        <w:t>WorkSource</w:t>
      </w:r>
      <w:proofErr w:type="spellEnd"/>
      <w:r w:rsidRPr="007524DA">
        <w:rPr>
          <w:rFonts w:ascii="Tahoma" w:hAnsi="Tahoma" w:cs="Tahoma"/>
        </w:rPr>
        <w:t xml:space="preserve"> Oregon (WSO) Center partners and service providers and other duties identified by Local Workforce Development Boards (WDBs) in each local area. The Workforce Innovation and Opportunity Act (WIOA) requires that Local WDBs use a competitive process for the selection of a One-Stop Operator. Competitive selection of One-Stop Operators is intended to improve the ability of Local WDBs to regularly examine performance and costs against original expectations.</w:t>
      </w:r>
    </w:p>
    <w:p w14:paraId="6F3D093F" w14:textId="5B4C8485" w:rsidR="0000272F" w:rsidRPr="00C8718B" w:rsidRDefault="0000272F"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t>Policy Statement</w:t>
      </w:r>
    </w:p>
    <w:p w14:paraId="3462D7D9" w14:textId="77777777" w:rsidR="00670CDD" w:rsidRPr="00670CDD" w:rsidRDefault="00670CDD" w:rsidP="00670CDD">
      <w:pPr>
        <w:pStyle w:val="BodyText"/>
        <w:spacing w:before="27" w:line="268" w:lineRule="auto"/>
        <w:ind w:right="442"/>
        <w:rPr>
          <w:rFonts w:ascii="Tahoma" w:hAnsi="Tahoma" w:cs="Tahoma"/>
        </w:rPr>
      </w:pPr>
      <w:r w:rsidRPr="00670CDD">
        <w:rPr>
          <w:rFonts w:ascii="Tahoma" w:hAnsi="Tahoma" w:cs="Tahoma"/>
        </w:rPr>
        <w:t>Local Workforce Development Boards (WDBs) must select their One-Stop Operator through a competitive process at least once every four years (WIOA sec. 121(d)(2)(A)). The competitive process must comply with 2 CFR § 200, including the Department of Labor specific requirements at 2 CFR part 2900. As part of that competitive process, Local WDBs are required to clearly articulate the expected role(s) and responsibilities of the One-Stop Operator (20 CFR § 678.620(a)) and include the role(s) and responsibilities in the resulting contract.</w:t>
      </w:r>
    </w:p>
    <w:p w14:paraId="385BFF22" w14:textId="77777777" w:rsidR="00670CDD" w:rsidRPr="00670CDD" w:rsidRDefault="00670CDD" w:rsidP="00670CDD">
      <w:pPr>
        <w:pStyle w:val="BodyText"/>
        <w:spacing w:line="268" w:lineRule="auto"/>
        <w:ind w:right="442"/>
        <w:rPr>
          <w:rFonts w:ascii="Tahoma" w:hAnsi="Tahoma" w:cs="Tahoma"/>
        </w:rPr>
      </w:pPr>
      <w:r w:rsidRPr="00670CDD">
        <w:rPr>
          <w:rFonts w:ascii="Tahoma" w:hAnsi="Tahoma" w:cs="Tahoma"/>
        </w:rPr>
        <w:t>All One-Stop Operators must be in place and operating in the WSO Centers no later than July 1, 2017 (20 CFR § 678.635).</w:t>
      </w:r>
    </w:p>
    <w:p w14:paraId="068D6FC7" w14:textId="77777777" w:rsidR="00670CDD" w:rsidRPr="00670CDD" w:rsidRDefault="00670CDD" w:rsidP="00670CDD">
      <w:pPr>
        <w:pStyle w:val="BodyText"/>
        <w:spacing w:line="271" w:lineRule="auto"/>
        <w:ind w:right="258"/>
        <w:rPr>
          <w:rFonts w:ascii="Tahoma" w:hAnsi="Tahoma" w:cs="Tahoma"/>
        </w:rPr>
      </w:pPr>
      <w:r w:rsidRPr="00670CDD">
        <w:rPr>
          <w:rFonts w:ascii="Tahoma" w:hAnsi="Tahoma" w:cs="Tahoma"/>
        </w:rPr>
        <w:t>In Oregon, Local WDBs can only serve as a One-Stop Operator through a sole source process with approval of the Chief Elected Official (CEO) and the Governor after the failure of the initial competitive process to result in an entity capable of carrying out the duties of the One-Stop Operator.</w:t>
      </w:r>
    </w:p>
    <w:p w14:paraId="2C9B953F" w14:textId="77777777" w:rsidR="00670CDD" w:rsidRPr="00670CDD" w:rsidRDefault="00670CDD" w:rsidP="00670CDD">
      <w:pPr>
        <w:pStyle w:val="BodyText"/>
        <w:rPr>
          <w:rFonts w:ascii="Tahoma" w:hAnsi="Tahoma" w:cs="Tahoma"/>
        </w:rPr>
      </w:pPr>
      <w:r w:rsidRPr="00670CDD">
        <w:rPr>
          <w:rFonts w:ascii="Tahoma" w:hAnsi="Tahoma" w:cs="Tahoma"/>
          <w:u w:val="single"/>
        </w:rPr>
        <w:t>Eligible Entities</w:t>
      </w:r>
    </w:p>
    <w:p w14:paraId="67B954A5" w14:textId="77777777" w:rsidR="00670CDD" w:rsidRPr="00670CDD" w:rsidRDefault="00670CDD" w:rsidP="00670CDD">
      <w:pPr>
        <w:pStyle w:val="BodyText"/>
        <w:spacing w:before="35" w:line="271" w:lineRule="auto"/>
        <w:ind w:right="295"/>
        <w:rPr>
          <w:rFonts w:ascii="Tahoma" w:hAnsi="Tahoma" w:cs="Tahoma"/>
        </w:rPr>
      </w:pPr>
      <w:r w:rsidRPr="00670CDD">
        <w:rPr>
          <w:rFonts w:ascii="Tahoma" w:hAnsi="Tahoma" w:cs="Tahoma"/>
        </w:rPr>
        <w:t>One-Stop Operators may be a single public, private, or non-profit entity or consortium of entities. However, if a consortium of entities consists of WSO Center partners, it must include a minimum of three of the required WSO Center partners listed in WIOA sec. 121(b)(1). The types of entities eligible to be a One-Stop Operator include the following (WIOA sec. 121(d)(2)(B)):</w:t>
      </w:r>
    </w:p>
    <w:p w14:paraId="7EE686A8" w14:textId="77777777" w:rsidR="00E57D80" w:rsidRPr="00E57D80" w:rsidRDefault="00E57D80" w:rsidP="00E57D80">
      <w:pPr>
        <w:pStyle w:val="ListParagraph"/>
        <w:widowControl w:val="0"/>
        <w:numPr>
          <w:ilvl w:val="0"/>
          <w:numId w:val="25"/>
        </w:numPr>
        <w:tabs>
          <w:tab w:val="left" w:pos="1202"/>
          <w:tab w:val="left" w:pos="1203"/>
        </w:tabs>
        <w:autoSpaceDE w:val="0"/>
        <w:autoSpaceDN w:val="0"/>
        <w:spacing w:line="268" w:lineRule="auto"/>
        <w:ind w:right="998"/>
        <w:contextualSpacing w:val="0"/>
        <w:rPr>
          <w:rFonts w:ascii="Tahoma" w:hAnsi="Tahoma" w:cs="Tahoma"/>
        </w:rPr>
      </w:pPr>
      <w:r w:rsidRPr="00E57D80">
        <w:rPr>
          <w:rFonts w:ascii="Tahoma" w:hAnsi="Tahoma" w:cs="Tahoma"/>
        </w:rPr>
        <w:t>Government agencies or governmental units such as: local or county governments,</w:t>
      </w:r>
      <w:r w:rsidRPr="00E57D80">
        <w:rPr>
          <w:rFonts w:ascii="Tahoma" w:hAnsi="Tahoma" w:cs="Tahoma"/>
          <w:spacing w:val="-40"/>
        </w:rPr>
        <w:t xml:space="preserve"> </w:t>
      </w:r>
      <w:r w:rsidRPr="00E57D80">
        <w:rPr>
          <w:rFonts w:ascii="Tahoma" w:hAnsi="Tahoma" w:cs="Tahoma"/>
        </w:rPr>
        <w:t>school districts, state agencies, and federal WIOA</w:t>
      </w:r>
      <w:r w:rsidRPr="00E57D80">
        <w:rPr>
          <w:rFonts w:ascii="Tahoma" w:hAnsi="Tahoma" w:cs="Tahoma"/>
          <w:spacing w:val="-19"/>
        </w:rPr>
        <w:t xml:space="preserve"> </w:t>
      </w:r>
      <w:r w:rsidRPr="00E57D80">
        <w:rPr>
          <w:rFonts w:ascii="Tahoma" w:hAnsi="Tahoma" w:cs="Tahoma"/>
        </w:rPr>
        <w:t>partners;</w:t>
      </w:r>
    </w:p>
    <w:p w14:paraId="6CC8E605" w14:textId="77777777" w:rsidR="00E57D80" w:rsidRPr="00E57D80" w:rsidRDefault="00E57D80" w:rsidP="00E57D80">
      <w:pPr>
        <w:pStyle w:val="ListParagraph"/>
        <w:widowControl w:val="0"/>
        <w:numPr>
          <w:ilvl w:val="0"/>
          <w:numId w:val="25"/>
        </w:numPr>
        <w:tabs>
          <w:tab w:val="left" w:pos="1202"/>
          <w:tab w:val="left" w:pos="1203"/>
        </w:tabs>
        <w:autoSpaceDE w:val="0"/>
        <w:autoSpaceDN w:val="0"/>
        <w:spacing w:before="5" w:line="268" w:lineRule="auto"/>
        <w:ind w:right="807"/>
        <w:contextualSpacing w:val="0"/>
        <w:rPr>
          <w:rFonts w:ascii="Tahoma" w:hAnsi="Tahoma" w:cs="Tahoma"/>
        </w:rPr>
      </w:pPr>
      <w:r w:rsidRPr="00E57D80">
        <w:rPr>
          <w:rFonts w:ascii="Tahoma" w:hAnsi="Tahoma" w:cs="Tahoma"/>
        </w:rPr>
        <w:t>Employment Service state agencies under the Wagner-</w:t>
      </w:r>
      <w:proofErr w:type="spellStart"/>
      <w:r w:rsidRPr="00E57D80">
        <w:rPr>
          <w:rFonts w:ascii="Tahoma" w:hAnsi="Tahoma" w:cs="Tahoma"/>
        </w:rPr>
        <w:t>Peyser</w:t>
      </w:r>
      <w:proofErr w:type="spellEnd"/>
      <w:r w:rsidRPr="00E57D80">
        <w:rPr>
          <w:rFonts w:ascii="Tahoma" w:hAnsi="Tahoma" w:cs="Tahoma"/>
        </w:rPr>
        <w:t xml:space="preserve"> Act, as amended by title </w:t>
      </w:r>
      <w:r w:rsidRPr="00E57D80">
        <w:rPr>
          <w:rFonts w:ascii="Tahoma" w:hAnsi="Tahoma" w:cs="Tahoma"/>
          <w:spacing w:val="-3"/>
        </w:rPr>
        <w:t xml:space="preserve">III </w:t>
      </w:r>
      <w:r w:rsidRPr="00E57D80">
        <w:rPr>
          <w:rFonts w:ascii="Tahoma" w:hAnsi="Tahoma" w:cs="Tahoma"/>
        </w:rPr>
        <w:t>of WIOA;</w:t>
      </w:r>
    </w:p>
    <w:p w14:paraId="722D4BEB" w14:textId="46B7D570" w:rsidR="00E57D80" w:rsidRPr="00E57D80" w:rsidRDefault="00E57D80" w:rsidP="00E57D80">
      <w:pPr>
        <w:pStyle w:val="ListParagraph"/>
        <w:widowControl w:val="0"/>
        <w:numPr>
          <w:ilvl w:val="0"/>
          <w:numId w:val="25"/>
        </w:numPr>
        <w:tabs>
          <w:tab w:val="left" w:pos="1202"/>
          <w:tab w:val="left" w:pos="1203"/>
        </w:tabs>
        <w:autoSpaceDE w:val="0"/>
        <w:autoSpaceDN w:val="0"/>
        <w:spacing w:before="5" w:line="285" w:lineRule="auto"/>
        <w:ind w:right="394"/>
        <w:contextualSpacing w:val="0"/>
        <w:rPr>
          <w:rFonts w:ascii="Tahoma" w:hAnsi="Tahoma" w:cs="Tahoma"/>
        </w:rPr>
      </w:pPr>
      <w:r w:rsidRPr="00E57D80">
        <w:rPr>
          <w:rFonts w:ascii="Tahoma" w:hAnsi="Tahoma" w:cs="Tahoma"/>
        </w:rPr>
        <w:t>Educational institutions, such as: institutions of higher education, nontraditional public secondary schools such as night schools, and area career and technical education schools (however, elementary and other secondary schools are not eligible to become a One-Stop</w:t>
      </w:r>
      <w:r w:rsidRPr="00E57D80">
        <w:rPr>
          <w:rFonts w:ascii="Tahoma" w:hAnsi="Tahoma" w:cs="Tahoma"/>
          <w:spacing w:val="-26"/>
        </w:rPr>
        <w:t xml:space="preserve"> </w:t>
      </w:r>
      <w:r w:rsidRPr="00E57D80">
        <w:rPr>
          <w:rFonts w:ascii="Tahoma" w:hAnsi="Tahoma" w:cs="Tahoma"/>
        </w:rPr>
        <w:t>Operator);</w:t>
      </w:r>
    </w:p>
    <w:p w14:paraId="524EA66D" w14:textId="77777777" w:rsidR="00D924DD" w:rsidRDefault="00E57D80" w:rsidP="00D924DD">
      <w:pPr>
        <w:pStyle w:val="BodyText"/>
        <w:numPr>
          <w:ilvl w:val="0"/>
          <w:numId w:val="25"/>
        </w:numPr>
        <w:spacing w:before="28" w:line="283" w:lineRule="auto"/>
        <w:ind w:right="1309"/>
        <w:rPr>
          <w:rFonts w:ascii="Tahoma" w:hAnsi="Tahoma" w:cs="Tahoma"/>
        </w:rPr>
      </w:pPr>
      <w:r w:rsidRPr="00E57D80">
        <w:rPr>
          <w:rFonts w:ascii="Tahoma" w:hAnsi="Tahoma" w:cs="Tahoma"/>
        </w:rPr>
        <w:t xml:space="preserve">Community-based organizations, nonprofit entities, or workforce intermediaries; </w:t>
      </w:r>
    </w:p>
    <w:p w14:paraId="026B7C1A" w14:textId="620E1BD5" w:rsidR="00E57D80" w:rsidRDefault="00E57D80" w:rsidP="00D924DD">
      <w:pPr>
        <w:pStyle w:val="BodyText"/>
        <w:numPr>
          <w:ilvl w:val="0"/>
          <w:numId w:val="25"/>
        </w:numPr>
        <w:spacing w:before="28" w:line="283" w:lineRule="auto"/>
        <w:ind w:right="1309"/>
        <w:rPr>
          <w:rFonts w:ascii="Tahoma" w:hAnsi="Tahoma" w:cs="Tahoma"/>
        </w:rPr>
      </w:pPr>
      <w:r w:rsidRPr="00E57D80">
        <w:rPr>
          <w:rFonts w:ascii="Tahoma" w:hAnsi="Tahoma" w:cs="Tahoma"/>
        </w:rPr>
        <w:t>Private for-profit entities;</w:t>
      </w:r>
    </w:p>
    <w:p w14:paraId="4E50243C" w14:textId="69E407A8" w:rsidR="00E57D80" w:rsidRPr="00E57D80" w:rsidRDefault="00E57D80" w:rsidP="00E57D80">
      <w:pPr>
        <w:pStyle w:val="BodyText"/>
        <w:numPr>
          <w:ilvl w:val="0"/>
          <w:numId w:val="27"/>
        </w:numPr>
        <w:spacing w:before="28" w:line="283" w:lineRule="auto"/>
        <w:ind w:right="1309"/>
        <w:rPr>
          <w:rFonts w:ascii="Tahoma" w:hAnsi="Tahoma" w:cs="Tahoma"/>
        </w:rPr>
      </w:pPr>
      <w:r w:rsidRPr="00E57D80">
        <w:rPr>
          <w:rFonts w:ascii="Tahoma" w:hAnsi="Tahoma" w:cs="Tahoma"/>
        </w:rPr>
        <w:lastRenderedPageBreak/>
        <w:t>Other interested organizations that are capable of carrying out the duties of the One-Stop Operator as identified in Training and Employment Guidance Letter WIOA No. 15-16, Competitive Selection of One-Stop Operators;</w:t>
      </w:r>
      <w:r w:rsidRPr="00E57D80">
        <w:rPr>
          <w:rFonts w:ascii="Tahoma" w:hAnsi="Tahoma" w:cs="Tahoma"/>
          <w:spacing w:val="-2"/>
        </w:rPr>
        <w:t xml:space="preserve"> </w:t>
      </w:r>
      <w:r w:rsidRPr="00E57D80">
        <w:rPr>
          <w:rFonts w:ascii="Tahoma" w:hAnsi="Tahoma" w:cs="Tahoma"/>
        </w:rPr>
        <w:t>and</w:t>
      </w:r>
    </w:p>
    <w:p w14:paraId="738AEA0F" w14:textId="77777777" w:rsidR="00E57D80" w:rsidRPr="00E57D80" w:rsidRDefault="00E57D80" w:rsidP="00E57D80">
      <w:pPr>
        <w:pStyle w:val="ListParagraph"/>
        <w:widowControl w:val="0"/>
        <w:numPr>
          <w:ilvl w:val="0"/>
          <w:numId w:val="25"/>
        </w:numPr>
        <w:tabs>
          <w:tab w:val="left" w:pos="1202"/>
          <w:tab w:val="left" w:pos="1203"/>
        </w:tabs>
        <w:autoSpaceDE w:val="0"/>
        <w:autoSpaceDN w:val="0"/>
        <w:spacing w:before="2"/>
        <w:ind w:hanging="361"/>
        <w:contextualSpacing w:val="0"/>
        <w:rPr>
          <w:rFonts w:ascii="Tahoma" w:hAnsi="Tahoma" w:cs="Tahoma"/>
        </w:rPr>
      </w:pPr>
      <w:r w:rsidRPr="00E57D80">
        <w:rPr>
          <w:rFonts w:ascii="Tahoma" w:hAnsi="Tahoma" w:cs="Tahoma"/>
        </w:rPr>
        <w:t xml:space="preserve">Local WDBs, </w:t>
      </w:r>
      <w:r w:rsidRPr="00E57D80">
        <w:rPr>
          <w:rFonts w:ascii="Tahoma" w:hAnsi="Tahoma" w:cs="Tahoma"/>
          <w:spacing w:val="-3"/>
        </w:rPr>
        <w:t xml:space="preserve">if </w:t>
      </w:r>
      <w:r w:rsidRPr="00E57D80">
        <w:rPr>
          <w:rFonts w:ascii="Tahoma" w:hAnsi="Tahoma" w:cs="Tahoma"/>
        </w:rPr>
        <w:t xml:space="preserve">approved by the CEO and the Governor as required </w:t>
      </w:r>
      <w:r w:rsidRPr="00E57D80">
        <w:rPr>
          <w:rFonts w:ascii="Tahoma" w:hAnsi="Tahoma" w:cs="Tahoma"/>
          <w:spacing w:val="-3"/>
        </w:rPr>
        <w:t xml:space="preserve">in </w:t>
      </w:r>
      <w:r w:rsidRPr="00E57D80">
        <w:rPr>
          <w:rFonts w:ascii="Tahoma" w:hAnsi="Tahoma" w:cs="Tahoma"/>
        </w:rPr>
        <w:t>WIOA sec.</w:t>
      </w:r>
      <w:r w:rsidRPr="00E57D80">
        <w:rPr>
          <w:rFonts w:ascii="Tahoma" w:hAnsi="Tahoma" w:cs="Tahoma"/>
          <w:spacing w:val="-15"/>
        </w:rPr>
        <w:t xml:space="preserve"> </w:t>
      </w:r>
      <w:r w:rsidRPr="00E57D80">
        <w:rPr>
          <w:rFonts w:ascii="Tahoma" w:hAnsi="Tahoma" w:cs="Tahoma"/>
        </w:rPr>
        <w:t>107(g)(2).</w:t>
      </w:r>
    </w:p>
    <w:p w14:paraId="09676660" w14:textId="5ECF35CF" w:rsidR="00E57D80" w:rsidRPr="00E57D80" w:rsidRDefault="00E57D80" w:rsidP="00E57D80">
      <w:pPr>
        <w:pStyle w:val="BodyText"/>
        <w:spacing w:before="28" w:line="283" w:lineRule="auto"/>
        <w:ind w:right="1309"/>
        <w:rPr>
          <w:rFonts w:ascii="Tahoma" w:hAnsi="Tahoma" w:cs="Tahoma"/>
        </w:rPr>
      </w:pPr>
    </w:p>
    <w:p w14:paraId="6ED90F57" w14:textId="77777777" w:rsidR="00191DCA" w:rsidRPr="00191DCA" w:rsidRDefault="00191DCA" w:rsidP="00191DCA">
      <w:pPr>
        <w:pStyle w:val="BodyText"/>
        <w:spacing w:before="1" w:line="271" w:lineRule="auto"/>
        <w:ind w:right="300"/>
        <w:rPr>
          <w:rFonts w:ascii="Tahoma" w:hAnsi="Tahoma" w:cs="Tahoma"/>
        </w:rPr>
      </w:pPr>
      <w:r w:rsidRPr="00191DCA">
        <w:rPr>
          <w:rFonts w:ascii="Tahoma" w:hAnsi="Tahoma" w:cs="Tahoma"/>
        </w:rPr>
        <w:t>As stated above, a Local WDB can serve as a One-Stop Operator, but they cannot participate in the initial competitive process. Local WDBs wanting to serve as One-Stop Operators must follow the process in Attachment A.</w:t>
      </w:r>
    </w:p>
    <w:p w14:paraId="28D16834" w14:textId="33AFDCD3" w:rsidR="00191DCA" w:rsidRPr="00191DCA" w:rsidRDefault="00191DCA" w:rsidP="006E240D">
      <w:pPr>
        <w:pStyle w:val="BodyText"/>
        <w:spacing w:line="268" w:lineRule="auto"/>
        <w:ind w:right="257"/>
        <w:rPr>
          <w:rFonts w:ascii="Tahoma" w:hAnsi="Tahoma" w:cs="Tahoma"/>
          <w:sz w:val="27"/>
        </w:rPr>
      </w:pPr>
      <w:r w:rsidRPr="00191DCA">
        <w:rPr>
          <w:rFonts w:ascii="Tahoma" w:hAnsi="Tahoma" w:cs="Tahoma"/>
        </w:rPr>
        <w:t>Local WDBs must ensure that, in carrying out WIOA programs and activities, One-Stop Operators adhere to the following (20 CFR § 678.600):</w:t>
      </w:r>
    </w:p>
    <w:p w14:paraId="04976C49" w14:textId="77777777" w:rsidR="00191DCA" w:rsidRPr="00191DCA" w:rsidRDefault="00191DCA" w:rsidP="00191DCA">
      <w:pPr>
        <w:pStyle w:val="ListParagraph"/>
        <w:widowControl w:val="0"/>
        <w:numPr>
          <w:ilvl w:val="0"/>
          <w:numId w:val="25"/>
        </w:numPr>
        <w:tabs>
          <w:tab w:val="left" w:pos="1202"/>
          <w:tab w:val="left" w:pos="1203"/>
        </w:tabs>
        <w:autoSpaceDE w:val="0"/>
        <w:autoSpaceDN w:val="0"/>
        <w:spacing w:line="271" w:lineRule="auto"/>
        <w:ind w:right="286"/>
        <w:contextualSpacing w:val="0"/>
        <w:rPr>
          <w:rFonts w:ascii="Tahoma" w:hAnsi="Tahoma" w:cs="Tahoma"/>
        </w:rPr>
      </w:pPr>
      <w:r w:rsidRPr="00191DCA">
        <w:rPr>
          <w:rFonts w:ascii="Tahoma" w:hAnsi="Tahoma" w:cs="Tahoma"/>
        </w:rPr>
        <w:t>Disclose any potential conflicts of interest arising from the relations of the One-Stop Operator with particular training service providers or other service providers in accordance with 2 CFR § 200.318.</w:t>
      </w:r>
    </w:p>
    <w:p w14:paraId="4021D462" w14:textId="77777777" w:rsidR="00191DCA" w:rsidRPr="00191DCA" w:rsidRDefault="00191DCA" w:rsidP="00191DCA">
      <w:pPr>
        <w:pStyle w:val="ListParagraph"/>
        <w:widowControl w:val="0"/>
        <w:numPr>
          <w:ilvl w:val="0"/>
          <w:numId w:val="25"/>
        </w:numPr>
        <w:tabs>
          <w:tab w:val="left" w:pos="1202"/>
          <w:tab w:val="left" w:pos="1203"/>
        </w:tabs>
        <w:autoSpaceDE w:val="0"/>
        <w:autoSpaceDN w:val="0"/>
        <w:spacing w:before="2" w:line="268" w:lineRule="auto"/>
        <w:ind w:right="984"/>
        <w:contextualSpacing w:val="0"/>
        <w:rPr>
          <w:rFonts w:ascii="Tahoma" w:hAnsi="Tahoma" w:cs="Tahoma"/>
        </w:rPr>
      </w:pPr>
      <w:r w:rsidRPr="00191DCA">
        <w:rPr>
          <w:rFonts w:ascii="Tahoma" w:hAnsi="Tahoma" w:cs="Tahoma"/>
        </w:rPr>
        <w:t>Do not establish practices that create disincentives to providing services to individuals</w:t>
      </w:r>
      <w:r w:rsidRPr="00191DCA">
        <w:rPr>
          <w:rFonts w:ascii="Tahoma" w:hAnsi="Tahoma" w:cs="Tahoma"/>
          <w:spacing w:val="-42"/>
        </w:rPr>
        <w:t xml:space="preserve"> </w:t>
      </w:r>
      <w:r w:rsidRPr="00191DCA">
        <w:rPr>
          <w:rFonts w:ascii="Tahoma" w:hAnsi="Tahoma" w:cs="Tahoma"/>
        </w:rPr>
        <w:t>with barriers to</w:t>
      </w:r>
      <w:r w:rsidRPr="00191DCA">
        <w:rPr>
          <w:rFonts w:ascii="Tahoma" w:hAnsi="Tahoma" w:cs="Tahoma"/>
          <w:spacing w:val="2"/>
        </w:rPr>
        <w:t xml:space="preserve"> </w:t>
      </w:r>
      <w:r w:rsidRPr="00191DCA">
        <w:rPr>
          <w:rFonts w:ascii="Tahoma" w:hAnsi="Tahoma" w:cs="Tahoma"/>
        </w:rPr>
        <w:t>employment.</w:t>
      </w:r>
    </w:p>
    <w:p w14:paraId="6CDD7F5A" w14:textId="77777777" w:rsidR="00191DCA" w:rsidRPr="00191DCA" w:rsidRDefault="00191DCA" w:rsidP="00191DCA">
      <w:pPr>
        <w:pStyle w:val="ListParagraph"/>
        <w:widowControl w:val="0"/>
        <w:numPr>
          <w:ilvl w:val="0"/>
          <w:numId w:val="25"/>
        </w:numPr>
        <w:tabs>
          <w:tab w:val="left" w:pos="1202"/>
          <w:tab w:val="left" w:pos="1203"/>
        </w:tabs>
        <w:autoSpaceDE w:val="0"/>
        <w:autoSpaceDN w:val="0"/>
        <w:spacing w:before="5" w:line="271" w:lineRule="auto"/>
        <w:ind w:right="525"/>
        <w:contextualSpacing w:val="0"/>
        <w:rPr>
          <w:rFonts w:ascii="Tahoma" w:hAnsi="Tahoma" w:cs="Tahoma"/>
        </w:rPr>
      </w:pPr>
      <w:r w:rsidRPr="00191DCA">
        <w:rPr>
          <w:rFonts w:ascii="Tahoma" w:hAnsi="Tahoma" w:cs="Tahoma"/>
        </w:rPr>
        <w:t>Comply with federal regulations and procurement policies relating to the calculation and use of profits</w:t>
      </w:r>
      <w:r w:rsidRPr="00191DCA">
        <w:rPr>
          <w:rFonts w:ascii="Tahoma" w:hAnsi="Tahoma" w:cs="Tahoma"/>
          <w:spacing w:val="-6"/>
        </w:rPr>
        <w:t xml:space="preserve"> </w:t>
      </w:r>
      <w:r w:rsidRPr="00191DCA">
        <w:rPr>
          <w:rFonts w:ascii="Tahoma" w:hAnsi="Tahoma" w:cs="Tahoma"/>
        </w:rPr>
        <w:t>as</w:t>
      </w:r>
      <w:r w:rsidRPr="00191DCA">
        <w:rPr>
          <w:rFonts w:ascii="Tahoma" w:hAnsi="Tahoma" w:cs="Tahoma"/>
          <w:spacing w:val="-6"/>
        </w:rPr>
        <w:t xml:space="preserve"> </w:t>
      </w:r>
      <w:r w:rsidRPr="00191DCA">
        <w:rPr>
          <w:rFonts w:ascii="Tahoma" w:hAnsi="Tahoma" w:cs="Tahoma"/>
        </w:rPr>
        <w:t>outlined in</w:t>
      </w:r>
      <w:r w:rsidRPr="00191DCA">
        <w:rPr>
          <w:rFonts w:ascii="Tahoma" w:hAnsi="Tahoma" w:cs="Tahoma"/>
          <w:spacing w:val="-3"/>
        </w:rPr>
        <w:t xml:space="preserve"> </w:t>
      </w:r>
      <w:r w:rsidRPr="00191DCA">
        <w:rPr>
          <w:rFonts w:ascii="Tahoma" w:hAnsi="Tahoma" w:cs="Tahoma"/>
        </w:rPr>
        <w:t>2 CFR</w:t>
      </w:r>
      <w:r w:rsidRPr="00191DCA">
        <w:rPr>
          <w:rFonts w:ascii="Tahoma" w:hAnsi="Tahoma" w:cs="Tahoma"/>
          <w:spacing w:val="-8"/>
        </w:rPr>
        <w:t xml:space="preserve"> </w:t>
      </w:r>
      <w:r w:rsidRPr="00191DCA">
        <w:rPr>
          <w:rFonts w:ascii="Tahoma" w:hAnsi="Tahoma" w:cs="Tahoma"/>
        </w:rPr>
        <w:t>§</w:t>
      </w:r>
      <w:r w:rsidRPr="00191DCA">
        <w:rPr>
          <w:rFonts w:ascii="Tahoma" w:hAnsi="Tahoma" w:cs="Tahoma"/>
          <w:spacing w:val="-3"/>
        </w:rPr>
        <w:t xml:space="preserve"> </w:t>
      </w:r>
      <w:r w:rsidRPr="00191DCA">
        <w:rPr>
          <w:rFonts w:ascii="Tahoma" w:hAnsi="Tahoma" w:cs="Tahoma"/>
        </w:rPr>
        <w:t>200,</w:t>
      </w:r>
      <w:r w:rsidRPr="00191DCA">
        <w:rPr>
          <w:rFonts w:ascii="Tahoma" w:hAnsi="Tahoma" w:cs="Tahoma"/>
          <w:spacing w:val="-9"/>
        </w:rPr>
        <w:t xml:space="preserve"> </w:t>
      </w:r>
      <w:r w:rsidRPr="00191DCA">
        <w:rPr>
          <w:rFonts w:ascii="Tahoma" w:hAnsi="Tahoma" w:cs="Tahoma"/>
        </w:rPr>
        <w:t>including the</w:t>
      </w:r>
      <w:r w:rsidRPr="00191DCA">
        <w:rPr>
          <w:rFonts w:ascii="Tahoma" w:hAnsi="Tahoma" w:cs="Tahoma"/>
          <w:spacing w:val="-3"/>
        </w:rPr>
        <w:t xml:space="preserve"> </w:t>
      </w:r>
      <w:r w:rsidRPr="00191DCA">
        <w:rPr>
          <w:rFonts w:ascii="Tahoma" w:hAnsi="Tahoma" w:cs="Tahoma"/>
        </w:rPr>
        <w:t>Department of</w:t>
      </w:r>
      <w:r w:rsidRPr="00191DCA">
        <w:rPr>
          <w:rFonts w:ascii="Tahoma" w:hAnsi="Tahoma" w:cs="Tahoma"/>
          <w:spacing w:val="-5"/>
        </w:rPr>
        <w:t xml:space="preserve"> </w:t>
      </w:r>
      <w:r w:rsidRPr="00191DCA">
        <w:rPr>
          <w:rFonts w:ascii="Tahoma" w:hAnsi="Tahoma" w:cs="Tahoma"/>
        </w:rPr>
        <w:t>Labor</w:t>
      </w:r>
      <w:r w:rsidRPr="00191DCA">
        <w:rPr>
          <w:rFonts w:ascii="Tahoma" w:hAnsi="Tahoma" w:cs="Tahoma"/>
          <w:spacing w:val="-3"/>
        </w:rPr>
        <w:t xml:space="preserve"> </w:t>
      </w:r>
      <w:r w:rsidRPr="00191DCA">
        <w:rPr>
          <w:rFonts w:ascii="Tahoma" w:hAnsi="Tahoma" w:cs="Tahoma"/>
        </w:rPr>
        <w:t>specific</w:t>
      </w:r>
      <w:r w:rsidRPr="00191DCA">
        <w:rPr>
          <w:rFonts w:ascii="Tahoma" w:hAnsi="Tahoma" w:cs="Tahoma"/>
          <w:spacing w:val="-5"/>
        </w:rPr>
        <w:t xml:space="preserve"> </w:t>
      </w:r>
      <w:r w:rsidRPr="00191DCA">
        <w:rPr>
          <w:rFonts w:ascii="Tahoma" w:hAnsi="Tahoma" w:cs="Tahoma"/>
        </w:rPr>
        <w:t>requirements</w:t>
      </w:r>
      <w:r w:rsidRPr="00191DCA">
        <w:rPr>
          <w:rFonts w:ascii="Tahoma" w:hAnsi="Tahoma" w:cs="Tahoma"/>
          <w:spacing w:val="-6"/>
        </w:rPr>
        <w:t xml:space="preserve"> </w:t>
      </w:r>
      <w:r w:rsidRPr="00191DCA">
        <w:rPr>
          <w:rFonts w:ascii="Tahoma" w:hAnsi="Tahoma" w:cs="Tahoma"/>
        </w:rPr>
        <w:t>at</w:t>
      </w:r>
      <w:r w:rsidRPr="00191DCA">
        <w:rPr>
          <w:rFonts w:ascii="Tahoma" w:hAnsi="Tahoma" w:cs="Tahoma"/>
          <w:spacing w:val="-4"/>
        </w:rPr>
        <w:t xml:space="preserve"> </w:t>
      </w:r>
      <w:r w:rsidRPr="00191DCA">
        <w:rPr>
          <w:rFonts w:ascii="Tahoma" w:hAnsi="Tahoma" w:cs="Tahoma"/>
        </w:rPr>
        <w:t>2 CFR part</w:t>
      </w:r>
      <w:r w:rsidRPr="00191DCA">
        <w:rPr>
          <w:rFonts w:ascii="Tahoma" w:hAnsi="Tahoma" w:cs="Tahoma"/>
          <w:spacing w:val="-4"/>
        </w:rPr>
        <w:t xml:space="preserve"> </w:t>
      </w:r>
      <w:r w:rsidRPr="00191DCA">
        <w:rPr>
          <w:rFonts w:ascii="Tahoma" w:hAnsi="Tahoma" w:cs="Tahoma"/>
        </w:rPr>
        <w:t>2900.</w:t>
      </w:r>
    </w:p>
    <w:p w14:paraId="086B920A" w14:textId="77777777" w:rsidR="00191DCA" w:rsidRPr="00191DCA" w:rsidRDefault="00191DCA" w:rsidP="00191DCA">
      <w:pPr>
        <w:pStyle w:val="ListParagraph"/>
        <w:widowControl w:val="0"/>
        <w:numPr>
          <w:ilvl w:val="0"/>
          <w:numId w:val="25"/>
        </w:numPr>
        <w:tabs>
          <w:tab w:val="left" w:pos="1202"/>
          <w:tab w:val="left" w:pos="1203"/>
        </w:tabs>
        <w:autoSpaceDE w:val="0"/>
        <w:autoSpaceDN w:val="0"/>
        <w:spacing w:before="1"/>
        <w:ind w:hanging="361"/>
        <w:contextualSpacing w:val="0"/>
        <w:rPr>
          <w:rFonts w:ascii="Tahoma" w:hAnsi="Tahoma" w:cs="Tahoma"/>
        </w:rPr>
      </w:pPr>
      <w:r w:rsidRPr="00191DCA">
        <w:rPr>
          <w:rFonts w:ascii="Tahoma" w:hAnsi="Tahoma" w:cs="Tahoma"/>
        </w:rPr>
        <w:t>Adhere to any applicable firewalls or internal</w:t>
      </w:r>
      <w:r w:rsidRPr="00191DCA">
        <w:rPr>
          <w:rFonts w:ascii="Tahoma" w:hAnsi="Tahoma" w:cs="Tahoma"/>
          <w:spacing w:val="-8"/>
        </w:rPr>
        <w:t xml:space="preserve"> </w:t>
      </w:r>
      <w:r w:rsidRPr="00191DCA">
        <w:rPr>
          <w:rFonts w:ascii="Tahoma" w:hAnsi="Tahoma" w:cs="Tahoma"/>
        </w:rPr>
        <w:t>controls.</w:t>
      </w:r>
    </w:p>
    <w:p w14:paraId="1F722BA9" w14:textId="77777777" w:rsidR="006E240D" w:rsidRDefault="006E240D" w:rsidP="006E240D">
      <w:pPr>
        <w:pStyle w:val="BodyText"/>
        <w:spacing w:line="271" w:lineRule="auto"/>
        <w:ind w:right="797"/>
        <w:rPr>
          <w:rFonts w:ascii="Tahoma" w:hAnsi="Tahoma" w:cs="Tahoma"/>
          <w:sz w:val="28"/>
        </w:rPr>
      </w:pPr>
    </w:p>
    <w:p w14:paraId="011F206F" w14:textId="7CB74F82" w:rsidR="00191DCA" w:rsidRPr="00191DCA" w:rsidRDefault="00191DCA" w:rsidP="006E240D">
      <w:pPr>
        <w:pStyle w:val="BodyText"/>
        <w:spacing w:line="271" w:lineRule="auto"/>
        <w:ind w:right="797"/>
        <w:rPr>
          <w:rFonts w:ascii="Tahoma" w:hAnsi="Tahoma" w:cs="Tahoma"/>
        </w:rPr>
      </w:pPr>
      <w:r w:rsidRPr="00191DCA">
        <w:rPr>
          <w:rFonts w:ascii="Tahoma" w:hAnsi="Tahoma" w:cs="Tahoma"/>
        </w:rPr>
        <w:t>Local WDBs must retain extensive written documentation of the procurement process (20 CFR § 678.605(d) and 678.610(b)). Local WDBs must also make available to the public, through electronic means and open meetings, information regarding their selection of One-Stop Operators (WIOA sec. 107(e)).</w:t>
      </w:r>
    </w:p>
    <w:p w14:paraId="0655F31B" w14:textId="77777777" w:rsidR="00DC2359" w:rsidRDefault="00DC2359" w:rsidP="00BE6128">
      <w:pPr>
        <w:keepNext/>
        <w:spacing w:after="60" w:line="276" w:lineRule="auto"/>
        <w:rPr>
          <w:rFonts w:ascii="Tahoma" w:hAnsi="Tahoma" w:cs="Tahoma"/>
          <w:b/>
          <w:color w:val="757D5A"/>
          <w:sz w:val="24"/>
          <w:szCs w:val="24"/>
        </w:rPr>
      </w:pPr>
    </w:p>
    <w:p w14:paraId="6AC08601" w14:textId="1844113C" w:rsidR="002107BB" w:rsidRDefault="002107BB" w:rsidP="00BE6128">
      <w:pPr>
        <w:keepNext/>
        <w:spacing w:after="60" w:line="276" w:lineRule="auto"/>
        <w:rPr>
          <w:rFonts w:ascii="Tahoma" w:hAnsi="Tahoma" w:cs="Tahoma"/>
          <w:b/>
          <w:color w:val="757D5A"/>
          <w:sz w:val="24"/>
          <w:szCs w:val="24"/>
        </w:rPr>
      </w:pPr>
      <w:r>
        <w:rPr>
          <w:rFonts w:ascii="Tahoma" w:hAnsi="Tahoma" w:cs="Tahoma"/>
          <w:b/>
          <w:color w:val="757D5A"/>
          <w:sz w:val="24"/>
          <w:szCs w:val="24"/>
        </w:rPr>
        <w:t>Effective Date</w:t>
      </w:r>
    </w:p>
    <w:p w14:paraId="69F19620" w14:textId="6002D7B9" w:rsidR="002107BB" w:rsidRDefault="00CE0A3D" w:rsidP="0000272F">
      <w:pPr>
        <w:spacing w:line="276" w:lineRule="auto"/>
        <w:rPr>
          <w:rFonts w:ascii="Tahoma" w:hAnsi="Tahoma" w:cs="Tahoma"/>
        </w:rPr>
      </w:pPr>
      <w:r>
        <w:rPr>
          <w:rFonts w:ascii="Tahoma" w:hAnsi="Tahoma" w:cs="Tahoma"/>
        </w:rPr>
        <w:t>06/09/2017</w:t>
      </w:r>
    </w:p>
    <w:p w14:paraId="681ACE30" w14:textId="77777777" w:rsidR="00CE0A3D" w:rsidRPr="002107BB" w:rsidRDefault="00CE0A3D" w:rsidP="0000272F">
      <w:pPr>
        <w:spacing w:line="276" w:lineRule="auto"/>
        <w:rPr>
          <w:rFonts w:ascii="Tahoma" w:hAnsi="Tahoma" w:cs="Tahoma"/>
        </w:rPr>
      </w:pPr>
    </w:p>
    <w:p w14:paraId="505DF7CD" w14:textId="7407CA87" w:rsidR="00CA6F4E" w:rsidRPr="00C8718B" w:rsidRDefault="00CA6F4E"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t>Required Action</w:t>
      </w:r>
    </w:p>
    <w:p w14:paraId="5D2C23CB" w14:textId="77777777" w:rsidR="00CE0A3D" w:rsidRDefault="00DC2359" w:rsidP="00CE0A3D">
      <w:pPr>
        <w:pStyle w:val="BodyText"/>
        <w:spacing w:before="26" w:line="271" w:lineRule="auto"/>
        <w:ind w:right="807"/>
        <w:rPr>
          <w:rFonts w:ascii="Tahoma" w:hAnsi="Tahoma" w:cs="Tahoma"/>
        </w:rPr>
      </w:pPr>
      <w:r w:rsidRPr="00DC2359">
        <w:rPr>
          <w:rFonts w:ascii="Tahoma" w:hAnsi="Tahoma" w:cs="Tahoma"/>
        </w:rPr>
        <w:t>Each Local WDB will implement a competitive process to select a One-Stop Operator for their Local Area. Each Local WDB will enter into a contract with the selected One-Stop Operator and have the One</w:t>
      </w:r>
      <w:r w:rsidR="00CE0A3D">
        <w:rPr>
          <w:rFonts w:ascii="Tahoma" w:hAnsi="Tahoma" w:cs="Tahoma"/>
        </w:rPr>
        <w:t>-</w:t>
      </w:r>
      <w:r w:rsidRPr="00DC2359">
        <w:rPr>
          <w:rFonts w:ascii="Tahoma" w:hAnsi="Tahoma" w:cs="Tahoma"/>
        </w:rPr>
        <w:t>Stop Operator in place by July 1, 2017 and repeat the process at least once every four years.</w:t>
      </w:r>
    </w:p>
    <w:p w14:paraId="41D9C9AE" w14:textId="77777777" w:rsidR="00CE0A3D" w:rsidRDefault="00CE0A3D" w:rsidP="00CE0A3D">
      <w:pPr>
        <w:pStyle w:val="BodyText"/>
        <w:spacing w:before="26" w:line="271" w:lineRule="auto"/>
        <w:ind w:right="807"/>
        <w:rPr>
          <w:rFonts w:ascii="Tahoma" w:hAnsi="Tahoma" w:cs="Tahoma"/>
          <w:b/>
          <w:color w:val="757D5A"/>
          <w:sz w:val="24"/>
          <w:szCs w:val="24"/>
        </w:rPr>
      </w:pPr>
    </w:p>
    <w:p w14:paraId="73A77C8E" w14:textId="016604FB" w:rsidR="0000272F" w:rsidRPr="00CE0A3D" w:rsidRDefault="0000272F" w:rsidP="00CE0A3D">
      <w:pPr>
        <w:pStyle w:val="BodyText"/>
        <w:spacing w:before="26" w:line="271" w:lineRule="auto"/>
        <w:ind w:right="807"/>
        <w:rPr>
          <w:rFonts w:ascii="Tahoma" w:hAnsi="Tahoma" w:cs="Tahoma"/>
        </w:rPr>
      </w:pPr>
      <w:r w:rsidRPr="00C8718B">
        <w:rPr>
          <w:rFonts w:ascii="Tahoma" w:hAnsi="Tahoma" w:cs="Tahoma"/>
          <w:b/>
          <w:color w:val="757D5A"/>
          <w:sz w:val="24"/>
          <w:szCs w:val="24"/>
        </w:rPr>
        <w:t>Contact</w:t>
      </w:r>
    </w:p>
    <w:p w14:paraId="24D59BC2" w14:textId="06668597" w:rsidR="007604D0" w:rsidRPr="00C935F6" w:rsidRDefault="007604D0" w:rsidP="007604D0">
      <w:pPr>
        <w:spacing w:line="276" w:lineRule="auto"/>
        <w:rPr>
          <w:rFonts w:ascii="Tahoma" w:hAnsi="Tahoma" w:cs="Tahoma"/>
        </w:rPr>
      </w:pPr>
      <w:bookmarkStart w:id="0" w:name="_Hlk62808880"/>
      <w:r w:rsidRPr="00C935F6">
        <w:rPr>
          <w:rFonts w:ascii="Tahoma" w:hAnsi="Tahoma" w:cs="Tahoma"/>
        </w:rPr>
        <w:t xml:space="preserve">Questions are to be referred to </w:t>
      </w:r>
      <w:hyperlink r:id="rId10" w:history="1">
        <w:r w:rsidR="00B8775D" w:rsidRPr="00B12C36">
          <w:rPr>
            <w:rStyle w:val="Hyperlink"/>
            <w:rFonts w:ascii="Tahoma" w:hAnsi="Tahoma" w:cs="Tahoma"/>
          </w:rPr>
          <w:t>hecc.owi-workforce-policy@hecc.oregon.gov</w:t>
        </w:r>
      </w:hyperlink>
      <w:r w:rsidR="00B8775D">
        <w:rPr>
          <w:rFonts w:ascii="Tahoma" w:hAnsi="Tahoma" w:cs="Tahoma"/>
        </w:rPr>
        <w:t xml:space="preserve">. </w:t>
      </w:r>
    </w:p>
    <w:bookmarkEnd w:id="0"/>
    <w:p w14:paraId="06381DEE" w14:textId="31E0E271" w:rsidR="0000272F" w:rsidRPr="00C8718B" w:rsidRDefault="0000272F" w:rsidP="0000272F">
      <w:pPr>
        <w:spacing w:line="276" w:lineRule="auto"/>
        <w:rPr>
          <w:rFonts w:ascii="Tahoma" w:hAnsi="Tahoma" w:cs="Tahoma"/>
        </w:rPr>
      </w:pPr>
    </w:p>
    <w:p w14:paraId="1B5BDE9F" w14:textId="2E783DDF" w:rsidR="0000272F" w:rsidRPr="00C8718B" w:rsidRDefault="0000272F" w:rsidP="0000272F">
      <w:pPr>
        <w:spacing w:line="276" w:lineRule="auto"/>
        <w:rPr>
          <w:rFonts w:ascii="Tahoma" w:hAnsi="Tahoma" w:cs="Tahoma"/>
        </w:rPr>
      </w:pPr>
    </w:p>
    <w:p w14:paraId="55EA721F" w14:textId="1E28EE7F" w:rsidR="0000272F" w:rsidRPr="00C8718B" w:rsidRDefault="0000272F" w:rsidP="0000272F">
      <w:pPr>
        <w:spacing w:line="276" w:lineRule="auto"/>
        <w:rPr>
          <w:rFonts w:ascii="Tahoma" w:hAnsi="Tahoma" w:cs="Tahoma"/>
        </w:rPr>
      </w:pPr>
    </w:p>
    <w:p w14:paraId="235252CF" w14:textId="283F8C6B" w:rsidR="0000272F" w:rsidRPr="00C8718B" w:rsidRDefault="0000272F" w:rsidP="0000272F">
      <w:pPr>
        <w:spacing w:line="276" w:lineRule="auto"/>
        <w:rPr>
          <w:rFonts w:ascii="Tahoma" w:hAnsi="Tahoma" w:cs="Tahoma"/>
        </w:rPr>
      </w:pPr>
    </w:p>
    <w:p w14:paraId="28FAA7B5" w14:textId="136FF06F" w:rsidR="0000272F" w:rsidRPr="00C8718B" w:rsidRDefault="0000272F"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lastRenderedPageBreak/>
        <w:t>Attachments</w:t>
      </w:r>
    </w:p>
    <w:p w14:paraId="33857CB4" w14:textId="77777777" w:rsidR="00CE0A3D" w:rsidRPr="00CE0A3D" w:rsidRDefault="00CE0A3D" w:rsidP="00CE0A3D">
      <w:pPr>
        <w:pStyle w:val="BodyText"/>
        <w:spacing w:before="26"/>
        <w:rPr>
          <w:rFonts w:ascii="Tahoma" w:hAnsi="Tahoma" w:cs="Tahoma"/>
        </w:rPr>
      </w:pPr>
      <w:r w:rsidRPr="00CE0A3D">
        <w:rPr>
          <w:rFonts w:ascii="Tahoma" w:hAnsi="Tahoma" w:cs="Tahoma"/>
        </w:rPr>
        <w:t>A. Process for Local Workforce Development Boards as One-Stop Operator</w:t>
      </w:r>
    </w:p>
    <w:p w14:paraId="3821EE47" w14:textId="2B3F9649" w:rsidR="0000272F" w:rsidRDefault="0000272F" w:rsidP="0000272F">
      <w:pPr>
        <w:spacing w:line="276" w:lineRule="auto"/>
        <w:rPr>
          <w:rFonts w:ascii="Tahoma" w:hAnsi="Tahoma" w:cs="Tahoma"/>
        </w:rPr>
      </w:pPr>
    </w:p>
    <w:p w14:paraId="5E751310" w14:textId="512B0A6B" w:rsidR="00BE6128" w:rsidRPr="00BE6128" w:rsidRDefault="00BE6128" w:rsidP="00BE6128">
      <w:pPr>
        <w:keepNext/>
        <w:spacing w:after="60" w:line="276" w:lineRule="auto"/>
        <w:rPr>
          <w:rFonts w:ascii="Tahoma" w:hAnsi="Tahoma" w:cs="Tahoma"/>
          <w:b/>
          <w:color w:val="757D5A"/>
          <w:sz w:val="24"/>
          <w:szCs w:val="24"/>
        </w:rPr>
      </w:pPr>
      <w:r w:rsidRPr="00BE6128">
        <w:rPr>
          <w:rFonts w:ascii="Tahoma" w:hAnsi="Tahoma" w:cs="Tahoma"/>
          <w:b/>
          <w:color w:val="757D5A"/>
          <w:sz w:val="24"/>
          <w:szCs w:val="24"/>
        </w:rPr>
        <w:t>References</w:t>
      </w:r>
    </w:p>
    <w:p w14:paraId="3C2E863F" w14:textId="77777777" w:rsidR="001E79EE" w:rsidRPr="001E79EE" w:rsidRDefault="001E79EE" w:rsidP="001E79EE">
      <w:pPr>
        <w:widowControl w:val="0"/>
        <w:tabs>
          <w:tab w:val="left" w:pos="1202"/>
          <w:tab w:val="left" w:pos="1203"/>
        </w:tabs>
        <w:autoSpaceDE w:val="0"/>
        <w:autoSpaceDN w:val="0"/>
        <w:spacing w:line="273" w:lineRule="auto"/>
        <w:ind w:right="462"/>
        <w:rPr>
          <w:rFonts w:ascii="Tahoma" w:hAnsi="Tahoma" w:cs="Tahoma"/>
        </w:rPr>
      </w:pPr>
      <w:r w:rsidRPr="001E79EE">
        <w:rPr>
          <w:rFonts w:ascii="Tahoma" w:hAnsi="Tahoma" w:cs="Tahoma"/>
        </w:rPr>
        <w:t>Training and Employment Guidance Letter WIOA No. 15-16, Competitive Selection of One-Stop Operators</w:t>
      </w:r>
    </w:p>
    <w:p w14:paraId="5FE0F221" w14:textId="77777777" w:rsidR="001E79EE" w:rsidRPr="001E79EE" w:rsidRDefault="001E79EE" w:rsidP="001E79EE">
      <w:pPr>
        <w:widowControl w:val="0"/>
        <w:tabs>
          <w:tab w:val="left" w:pos="1202"/>
          <w:tab w:val="left" w:pos="1203"/>
        </w:tabs>
        <w:autoSpaceDE w:val="0"/>
        <w:autoSpaceDN w:val="0"/>
        <w:spacing w:line="268" w:lineRule="auto"/>
        <w:ind w:right="439"/>
        <w:rPr>
          <w:rFonts w:ascii="Tahoma" w:hAnsi="Tahoma" w:cs="Tahoma"/>
        </w:rPr>
      </w:pPr>
      <w:r w:rsidRPr="001E79EE">
        <w:rPr>
          <w:rFonts w:ascii="Tahoma" w:hAnsi="Tahoma" w:cs="Tahoma"/>
        </w:rPr>
        <w:t>Training and Employment Guidance Letter WIOA No. 16-16, One-Stop Operations Guidance for the American Job Center</w:t>
      </w:r>
      <w:r w:rsidRPr="001E79EE">
        <w:rPr>
          <w:rFonts w:ascii="Tahoma" w:hAnsi="Tahoma" w:cs="Tahoma"/>
          <w:spacing w:val="-4"/>
        </w:rPr>
        <w:t xml:space="preserve"> </w:t>
      </w:r>
      <w:r w:rsidRPr="001E79EE">
        <w:rPr>
          <w:rFonts w:ascii="Tahoma" w:hAnsi="Tahoma" w:cs="Tahoma"/>
        </w:rPr>
        <w:t>Network</w:t>
      </w:r>
    </w:p>
    <w:p w14:paraId="28CFFF0D" w14:textId="77777777" w:rsidR="00BE6128" w:rsidRDefault="00BE6128" w:rsidP="0000272F">
      <w:pPr>
        <w:spacing w:line="276" w:lineRule="auto"/>
        <w:rPr>
          <w:rFonts w:ascii="Tahoma" w:hAnsi="Tahoma" w:cs="Tahoma"/>
        </w:rPr>
      </w:pPr>
    </w:p>
    <w:p w14:paraId="7B1AF2FA" w14:textId="77777777" w:rsidR="00BE6128" w:rsidRDefault="00BE6128" w:rsidP="0000272F">
      <w:pPr>
        <w:spacing w:line="276" w:lineRule="auto"/>
        <w:rPr>
          <w:rFonts w:ascii="Tahoma" w:hAnsi="Tahoma" w:cs="Tahoma"/>
        </w:rPr>
      </w:pPr>
    </w:p>
    <w:p w14:paraId="21A0279C" w14:textId="02ECF387" w:rsidR="0000272F" w:rsidRPr="00C8718B" w:rsidRDefault="0000272F" w:rsidP="0000272F">
      <w:pPr>
        <w:spacing w:line="276" w:lineRule="auto"/>
        <w:rPr>
          <w:rFonts w:ascii="Tahoma" w:hAnsi="Tahoma" w:cs="Tahoma"/>
        </w:rPr>
      </w:pPr>
      <w:bookmarkStart w:id="1" w:name="_GoBack"/>
      <w:bookmarkEnd w:id="1"/>
    </w:p>
    <w:sectPr w:rsidR="0000272F" w:rsidRPr="00C8718B" w:rsidSect="0000272F">
      <w:headerReference w:type="default" r:id="rId11"/>
      <w:footerReference w:type="default" r:id="rId12"/>
      <w:headerReference w:type="first" r:id="rId13"/>
      <w:pgSz w:w="12240" w:h="15840" w:code="1"/>
      <w:pgMar w:top="144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9BB9" w14:textId="77777777" w:rsidR="00817449" w:rsidRDefault="00817449" w:rsidP="00817449">
      <w:r>
        <w:separator/>
      </w:r>
    </w:p>
  </w:endnote>
  <w:endnote w:type="continuationSeparator" w:id="0">
    <w:p w14:paraId="0DC34721" w14:textId="77777777" w:rsidR="00817449" w:rsidRDefault="00817449" w:rsidP="0081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47D0" w14:textId="1E9212E2" w:rsidR="0000272F" w:rsidRPr="0000272F" w:rsidRDefault="00591E08" w:rsidP="001E5FBB">
    <w:pPr>
      <w:pStyle w:val="Footer"/>
      <w:tabs>
        <w:tab w:val="right" w:pos="10710"/>
      </w:tabs>
      <w:rPr>
        <w:sz w:val="18"/>
        <w:szCs w:val="18"/>
      </w:rPr>
    </w:pPr>
    <w:r>
      <w:rPr>
        <w:sz w:val="18"/>
        <w:szCs w:val="18"/>
      </w:rPr>
      <w:t>One-Stop Operator Procurement</w:t>
    </w:r>
    <w:r w:rsidR="001E5FBB">
      <w:rPr>
        <w:sz w:val="18"/>
        <w:szCs w:val="18"/>
      </w:rPr>
      <w:tab/>
    </w:r>
    <w:r w:rsidR="0000272F" w:rsidRPr="0000272F">
      <w:rPr>
        <w:sz w:val="18"/>
        <w:szCs w:val="18"/>
      </w:rPr>
      <w:fldChar w:fldCharType="begin"/>
    </w:r>
    <w:r w:rsidR="0000272F" w:rsidRPr="0000272F">
      <w:rPr>
        <w:sz w:val="18"/>
        <w:szCs w:val="18"/>
      </w:rPr>
      <w:instrText xml:space="preserve"> PAGE   \* MERGEFORMAT </w:instrText>
    </w:r>
    <w:r w:rsidR="0000272F" w:rsidRPr="0000272F">
      <w:rPr>
        <w:sz w:val="18"/>
        <w:szCs w:val="18"/>
      </w:rPr>
      <w:fldChar w:fldCharType="separate"/>
    </w:r>
    <w:r w:rsidR="0000272F" w:rsidRPr="0000272F">
      <w:rPr>
        <w:noProof/>
        <w:sz w:val="18"/>
        <w:szCs w:val="18"/>
      </w:rPr>
      <w:t>1</w:t>
    </w:r>
    <w:r w:rsidR="0000272F" w:rsidRPr="0000272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276AC" w14:textId="77777777" w:rsidR="00817449" w:rsidRDefault="00817449" w:rsidP="00817449">
      <w:r>
        <w:separator/>
      </w:r>
    </w:p>
  </w:footnote>
  <w:footnote w:type="continuationSeparator" w:id="0">
    <w:p w14:paraId="55825824" w14:textId="77777777" w:rsidR="00817449" w:rsidRDefault="00817449" w:rsidP="0081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0754" w14:textId="29A04F8D" w:rsidR="00817449" w:rsidRDefault="00817449" w:rsidP="00817449">
    <w:pPr>
      <w:pStyle w:val="Header"/>
      <w:jc w:val="center"/>
      <w:rPr>
        <w:sz w:val="18"/>
        <w:szCs w:val="18"/>
      </w:rPr>
    </w:pPr>
    <w:r>
      <w:rPr>
        <w:sz w:val="18"/>
        <w:szCs w:val="18"/>
      </w:rPr>
      <w:t>State of Oregon Workforce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6" w:type="dxa"/>
      <w:jc w:val="right"/>
      <w:tblBorders>
        <w:top w:val="single" w:sz="12" w:space="0" w:color="757D5A"/>
        <w:left w:val="single" w:sz="12" w:space="0" w:color="757D5A"/>
        <w:bottom w:val="single" w:sz="12" w:space="0" w:color="757D5A"/>
        <w:right w:val="single" w:sz="12" w:space="0" w:color="757D5A"/>
        <w:insideH w:val="single" w:sz="12" w:space="0" w:color="757D5A"/>
        <w:insideV w:val="single" w:sz="12" w:space="0" w:color="757D5A"/>
      </w:tblBorders>
      <w:tblLook w:val="04A0" w:firstRow="1" w:lastRow="0" w:firstColumn="1" w:lastColumn="0" w:noHBand="0" w:noVBand="1"/>
    </w:tblPr>
    <w:tblGrid>
      <w:gridCol w:w="4665"/>
      <w:gridCol w:w="4551"/>
    </w:tblGrid>
    <w:tr w:rsidR="00817449" w:rsidRPr="00C8718B" w14:paraId="7C6D7735" w14:textId="77777777" w:rsidTr="005518EE">
      <w:trPr>
        <w:jc w:val="right"/>
      </w:trPr>
      <w:tc>
        <w:tcPr>
          <w:tcW w:w="9216" w:type="dxa"/>
          <w:gridSpan w:val="2"/>
        </w:tcPr>
        <w:p w14:paraId="391A9808" w14:textId="77777777" w:rsidR="0076670E" w:rsidRDefault="0076670E" w:rsidP="00817449">
          <w:pPr>
            <w:pStyle w:val="Header"/>
            <w:jc w:val="center"/>
            <w:rPr>
              <w:rFonts w:ascii="Tahoma" w:hAnsi="Tahoma" w:cs="Tahoma"/>
              <w:sz w:val="26"/>
              <w:szCs w:val="26"/>
            </w:rPr>
          </w:pPr>
          <w:bookmarkStart w:id="2" w:name="_Hlk62808763"/>
          <w:r>
            <w:rPr>
              <w:rFonts w:ascii="Tahoma" w:hAnsi="Tahoma" w:cs="Tahoma"/>
              <w:sz w:val="26"/>
              <w:szCs w:val="26"/>
            </w:rPr>
            <w:t>Higher Education Coordinating Commission</w:t>
          </w:r>
        </w:p>
        <w:p w14:paraId="341A9FB3" w14:textId="2353F61F" w:rsidR="00817449" w:rsidRPr="00C8718B" w:rsidRDefault="0076670E" w:rsidP="004F6ADC">
          <w:pPr>
            <w:pStyle w:val="Header"/>
            <w:jc w:val="center"/>
            <w:rPr>
              <w:rFonts w:ascii="Tahoma" w:hAnsi="Tahoma" w:cs="Tahoma"/>
              <w:sz w:val="26"/>
              <w:szCs w:val="26"/>
            </w:rPr>
          </w:pPr>
          <w:r>
            <w:rPr>
              <w:rFonts w:ascii="Tahoma" w:hAnsi="Tahoma" w:cs="Tahoma"/>
              <w:sz w:val="26"/>
              <w:szCs w:val="26"/>
            </w:rPr>
            <w:t>Office of Workforce Investment</w:t>
          </w:r>
          <w:r w:rsidR="000F691A">
            <w:rPr>
              <w:rFonts w:ascii="Tahoma" w:hAnsi="Tahoma" w:cs="Tahoma"/>
              <w:sz w:val="26"/>
              <w:szCs w:val="26"/>
            </w:rPr>
            <w:t>s</w:t>
          </w:r>
          <w:r w:rsidR="004F6ADC">
            <w:rPr>
              <w:rFonts w:ascii="Tahoma" w:hAnsi="Tahoma" w:cs="Tahoma"/>
              <w:sz w:val="26"/>
              <w:szCs w:val="26"/>
            </w:rPr>
            <w:t xml:space="preserve"> </w:t>
          </w:r>
          <w:r w:rsidR="00817449" w:rsidRPr="00C8718B">
            <w:rPr>
              <w:rFonts w:ascii="Tahoma" w:hAnsi="Tahoma" w:cs="Tahoma"/>
              <w:sz w:val="26"/>
              <w:szCs w:val="26"/>
            </w:rPr>
            <w:t>Policy</w:t>
          </w:r>
        </w:p>
      </w:tc>
    </w:tr>
    <w:tr w:rsidR="00817449" w:rsidRPr="00C8718B" w14:paraId="56EED176" w14:textId="77777777" w:rsidTr="005518EE">
      <w:trPr>
        <w:trHeight w:val="364"/>
        <w:jc w:val="right"/>
      </w:trPr>
      <w:tc>
        <w:tcPr>
          <w:tcW w:w="9216" w:type="dxa"/>
          <w:gridSpan w:val="2"/>
          <w:vAlign w:val="center"/>
        </w:tcPr>
        <w:p w14:paraId="0E831CA6" w14:textId="0C786A76" w:rsidR="00817449" w:rsidRPr="00C8718B" w:rsidRDefault="00817449" w:rsidP="0000272F">
          <w:pPr>
            <w:pStyle w:val="Header"/>
            <w:rPr>
              <w:rFonts w:ascii="Tahoma" w:hAnsi="Tahoma" w:cs="Tahoma"/>
              <w:sz w:val="24"/>
              <w:szCs w:val="24"/>
            </w:rPr>
          </w:pPr>
          <w:r w:rsidRPr="00C8718B">
            <w:rPr>
              <w:rFonts w:ascii="Tahoma" w:hAnsi="Tahoma" w:cs="Tahoma"/>
              <w:sz w:val="24"/>
              <w:szCs w:val="24"/>
            </w:rPr>
            <w:t xml:space="preserve">Subject: </w:t>
          </w:r>
          <w:r w:rsidR="00B52A2A">
            <w:rPr>
              <w:rFonts w:ascii="Tahoma" w:hAnsi="Tahoma" w:cs="Tahoma"/>
              <w:sz w:val="24"/>
              <w:szCs w:val="24"/>
            </w:rPr>
            <w:t>One-Stop Operator Procurement</w:t>
          </w:r>
        </w:p>
      </w:tc>
    </w:tr>
    <w:tr w:rsidR="0076670E" w:rsidRPr="00C8718B" w14:paraId="2C455851" w14:textId="77777777" w:rsidTr="005518EE">
      <w:trPr>
        <w:trHeight w:val="364"/>
        <w:jc w:val="right"/>
      </w:trPr>
      <w:tc>
        <w:tcPr>
          <w:tcW w:w="9216" w:type="dxa"/>
          <w:gridSpan w:val="2"/>
          <w:vAlign w:val="center"/>
        </w:tcPr>
        <w:p w14:paraId="30089CFA" w14:textId="408ADDF9" w:rsidR="00453885" w:rsidRDefault="0076670E" w:rsidP="0000272F">
          <w:pPr>
            <w:pStyle w:val="Header"/>
            <w:rPr>
              <w:rFonts w:ascii="Tahoma" w:hAnsi="Tahoma" w:cs="Tahoma"/>
              <w:sz w:val="24"/>
              <w:szCs w:val="24"/>
            </w:rPr>
          </w:pPr>
          <w:r>
            <w:rPr>
              <w:rFonts w:ascii="Tahoma" w:hAnsi="Tahoma" w:cs="Tahoma"/>
              <w:sz w:val="24"/>
              <w:szCs w:val="24"/>
            </w:rPr>
            <w:t>Focus:</w:t>
          </w:r>
          <w:r w:rsidR="00453885">
            <w:rPr>
              <w:rFonts w:ascii="Tahoma" w:hAnsi="Tahoma" w:cs="Tahoma"/>
              <w:sz w:val="24"/>
              <w:szCs w:val="24"/>
            </w:rPr>
            <w:tab/>
          </w:r>
          <w:r w:rsidR="00453885">
            <w:rPr>
              <w:rFonts w:ascii="Tahoma" w:hAnsi="Tahoma" w:cs="Tahoma"/>
              <w:sz w:val="24"/>
              <w:szCs w:val="24"/>
            </w:rPr>
            <w:tab/>
          </w:r>
          <w:r>
            <w:rPr>
              <w:rFonts w:ascii="Tahoma" w:hAnsi="Tahoma" w:cs="Tahoma"/>
              <w:sz w:val="24"/>
              <w:szCs w:val="24"/>
            </w:rPr>
            <w:t xml:space="preserve">   </w:t>
          </w:r>
          <w:r w:rsidR="00B52A2A">
            <w:rPr>
              <w:rFonts w:ascii="Tahoma" w:hAnsi="Tahoma" w:cs="Tahoma"/>
              <w:sz w:val="24"/>
              <w:szCs w:val="24"/>
            </w:rPr>
            <w:sym w:font="Wingdings" w:char="F0FD"/>
          </w:r>
          <w:r w:rsidR="00453885">
            <w:rPr>
              <w:rFonts w:ascii="Tahoma" w:hAnsi="Tahoma" w:cs="Tahoma"/>
              <w:sz w:val="24"/>
              <w:szCs w:val="24"/>
            </w:rPr>
            <w:t xml:space="preserve"> WIOA Title I     </w:t>
          </w:r>
          <w:r w:rsidR="00453885">
            <w:rPr>
              <w:rFonts w:ascii="Tahoma" w:hAnsi="Tahoma" w:cs="Tahoma"/>
              <w:sz w:val="24"/>
              <w:szCs w:val="24"/>
            </w:rPr>
            <w:sym w:font="Wingdings" w:char="F072"/>
          </w:r>
          <w:r w:rsidR="00453885">
            <w:rPr>
              <w:rFonts w:ascii="Tahoma" w:hAnsi="Tahoma" w:cs="Tahoma"/>
              <w:sz w:val="24"/>
              <w:szCs w:val="24"/>
            </w:rPr>
            <w:t xml:space="preserve"> National DWG     </w:t>
          </w:r>
          <w:r w:rsidR="00453885">
            <w:rPr>
              <w:rFonts w:ascii="Tahoma" w:hAnsi="Tahoma" w:cs="Tahoma"/>
              <w:sz w:val="24"/>
              <w:szCs w:val="24"/>
            </w:rPr>
            <w:sym w:font="Wingdings" w:char="F072"/>
          </w:r>
          <w:r w:rsidR="00453885">
            <w:rPr>
              <w:rFonts w:ascii="Tahoma" w:hAnsi="Tahoma" w:cs="Tahoma"/>
              <w:sz w:val="24"/>
              <w:szCs w:val="24"/>
            </w:rPr>
            <w:t xml:space="preserve"> State Grants</w:t>
          </w:r>
        </w:p>
        <w:p w14:paraId="277AC787" w14:textId="5679FCF8" w:rsidR="0076670E" w:rsidRPr="00C8718B" w:rsidRDefault="00453885" w:rsidP="0000272F">
          <w:pPr>
            <w:pStyle w:val="Header"/>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sym w:font="Wingdings" w:char="F072"/>
          </w:r>
          <w:r>
            <w:rPr>
              <w:rFonts w:ascii="Tahoma" w:hAnsi="Tahoma" w:cs="Tahoma"/>
              <w:sz w:val="24"/>
              <w:szCs w:val="24"/>
            </w:rPr>
            <w:t xml:space="preserve"> Other:  </w:t>
          </w:r>
        </w:p>
      </w:tc>
    </w:tr>
    <w:tr w:rsidR="00414FAD" w:rsidRPr="00C8718B" w14:paraId="0201671B" w14:textId="77777777" w:rsidTr="00414FAD">
      <w:trPr>
        <w:trHeight w:val="355"/>
        <w:jc w:val="right"/>
      </w:trPr>
      <w:tc>
        <w:tcPr>
          <w:tcW w:w="4665" w:type="dxa"/>
          <w:shd w:val="clear" w:color="auto" w:fill="auto"/>
          <w:vAlign w:val="center"/>
        </w:tcPr>
        <w:p w14:paraId="5CEC0878" w14:textId="668B1DB1" w:rsidR="00414FAD" w:rsidRPr="00C8718B" w:rsidRDefault="00414FAD" w:rsidP="00414FAD">
          <w:pPr>
            <w:pStyle w:val="Header"/>
            <w:rPr>
              <w:rFonts w:ascii="Tahoma" w:hAnsi="Tahoma" w:cs="Tahoma"/>
            </w:rPr>
          </w:pPr>
          <w:r>
            <w:rPr>
              <w:rFonts w:ascii="Tahoma" w:hAnsi="Tahoma" w:cs="Tahoma"/>
            </w:rPr>
            <w:t xml:space="preserve">Publish </w:t>
          </w:r>
          <w:r w:rsidRPr="00C8718B">
            <w:rPr>
              <w:rFonts w:ascii="Tahoma" w:hAnsi="Tahoma" w:cs="Tahoma"/>
            </w:rPr>
            <w:t xml:space="preserve">Date:  </w:t>
          </w:r>
          <w:r w:rsidR="00591E08">
            <w:rPr>
              <w:rFonts w:ascii="Tahoma" w:hAnsi="Tahoma" w:cs="Tahoma"/>
            </w:rPr>
            <w:t>06/09/2017</w:t>
          </w:r>
        </w:p>
      </w:tc>
      <w:tc>
        <w:tcPr>
          <w:tcW w:w="4551" w:type="dxa"/>
          <w:shd w:val="clear" w:color="auto" w:fill="auto"/>
          <w:vAlign w:val="center"/>
        </w:tcPr>
        <w:p w14:paraId="22E68ECF" w14:textId="05A3DD6F" w:rsidR="00414FAD" w:rsidRPr="00C8718B" w:rsidRDefault="00B52A2A" w:rsidP="00414FAD">
          <w:pPr>
            <w:pStyle w:val="Header"/>
            <w:jc w:val="center"/>
            <w:rPr>
              <w:rFonts w:ascii="Tahoma" w:hAnsi="Tahoma" w:cs="Tahoma"/>
            </w:rPr>
          </w:pPr>
          <w:r>
            <w:rPr>
              <w:rFonts w:ascii="Tahoma" w:hAnsi="Tahoma" w:cs="Tahoma"/>
            </w:rPr>
            <w:sym w:font="Wingdings" w:char="F0FD"/>
          </w:r>
          <w:r w:rsidR="00414FAD">
            <w:rPr>
              <w:rFonts w:ascii="Tahoma" w:hAnsi="Tahoma" w:cs="Tahoma"/>
            </w:rPr>
            <w:t xml:space="preserve"> New Policy    </w:t>
          </w:r>
          <w:r w:rsidR="00414FAD">
            <w:rPr>
              <w:rFonts w:ascii="Tahoma" w:hAnsi="Tahoma" w:cs="Tahoma"/>
            </w:rPr>
            <w:sym w:font="Wingdings" w:char="F071"/>
          </w:r>
          <w:r w:rsidR="00414FAD">
            <w:rPr>
              <w:rFonts w:ascii="Tahoma" w:hAnsi="Tahoma" w:cs="Tahoma"/>
            </w:rPr>
            <w:t xml:space="preserve"> Revised Policy</w:t>
          </w:r>
        </w:p>
      </w:tc>
    </w:tr>
  </w:tbl>
  <w:bookmarkEnd w:id="2"/>
  <w:p w14:paraId="135DFF38" w14:textId="139F4073" w:rsidR="00817449" w:rsidRDefault="0000272F">
    <w:pPr>
      <w:pStyle w:val="Header"/>
    </w:pPr>
    <w:r w:rsidRPr="00F74E7E">
      <w:rPr>
        <w:b/>
        <w:noProof/>
        <w:sz w:val="36"/>
        <w:szCs w:val="36"/>
        <w:u w:val="single"/>
      </w:rPr>
      <w:drawing>
        <wp:anchor distT="0" distB="0" distL="114300" distR="114300" simplePos="0" relativeHeight="251663360" behindDoc="0" locked="0" layoutInCell="1" allowOverlap="1" wp14:anchorId="5F783A7E" wp14:editId="19C1710E">
          <wp:simplePos x="0" y="0"/>
          <wp:positionH relativeFrom="margin">
            <wp:posOffset>-68580</wp:posOffset>
          </wp:positionH>
          <wp:positionV relativeFrom="margin">
            <wp:posOffset>-1263015</wp:posOffset>
          </wp:positionV>
          <wp:extent cx="932180" cy="93218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pic:spPr>
              </pic:pic>
            </a:graphicData>
          </a:graphic>
          <wp14:sizeRelH relativeFrom="page">
            <wp14:pctWidth>0</wp14:pctWidth>
          </wp14:sizeRelH>
          <wp14:sizeRelV relativeFrom="page">
            <wp14:pctHeight>0</wp14:pctHeight>
          </wp14:sizeRelV>
        </wp:anchor>
      </w:drawing>
    </w:r>
    <w:r w:rsidR="00817449" w:rsidRPr="00F74E7E">
      <w:rPr>
        <w:b/>
        <w:noProof/>
        <w:sz w:val="36"/>
        <w:szCs w:val="36"/>
        <w:u w:val="single"/>
      </w:rPr>
      <w:drawing>
        <wp:anchor distT="0" distB="0" distL="114300" distR="114300" simplePos="0" relativeHeight="251661312" behindDoc="0" locked="0" layoutInCell="1" allowOverlap="1" wp14:anchorId="105AD18B" wp14:editId="37029ABE">
          <wp:simplePos x="0" y="0"/>
          <wp:positionH relativeFrom="margin">
            <wp:posOffset>-45720</wp:posOffset>
          </wp:positionH>
          <wp:positionV relativeFrom="margin">
            <wp:posOffset>72390</wp:posOffset>
          </wp:positionV>
          <wp:extent cx="932688" cy="932688"/>
          <wp:effectExtent l="0" t="0" r="1270" b="1270"/>
          <wp:wrapSquare wrapText="bothSides"/>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688" cy="93268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025695"/>
    <w:multiLevelType w:val="hybridMultilevel"/>
    <w:tmpl w:val="AB16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43D43C7"/>
    <w:multiLevelType w:val="hybridMultilevel"/>
    <w:tmpl w:val="E6A27C2A"/>
    <w:lvl w:ilvl="0" w:tplc="C7D6F9CE">
      <w:numFmt w:val="bullet"/>
      <w:lvlText w:val="•"/>
      <w:lvlJc w:val="left"/>
      <w:pPr>
        <w:ind w:left="1202" w:hanging="360"/>
      </w:pPr>
      <w:rPr>
        <w:rFonts w:ascii="Arial" w:eastAsia="Arial" w:hAnsi="Arial" w:cs="Arial" w:hint="default"/>
        <w:w w:val="100"/>
        <w:sz w:val="22"/>
        <w:szCs w:val="22"/>
        <w:lang w:val="en-US" w:eastAsia="en-US" w:bidi="en-US"/>
      </w:rPr>
    </w:lvl>
    <w:lvl w:ilvl="1" w:tplc="F3A6BACE">
      <w:numFmt w:val="bullet"/>
      <w:lvlText w:val="•"/>
      <w:lvlJc w:val="left"/>
      <w:pPr>
        <w:ind w:left="2178" w:hanging="360"/>
      </w:pPr>
      <w:rPr>
        <w:rFonts w:hint="default"/>
        <w:lang w:val="en-US" w:eastAsia="en-US" w:bidi="en-US"/>
      </w:rPr>
    </w:lvl>
    <w:lvl w:ilvl="2" w:tplc="F8FA1126">
      <w:numFmt w:val="bullet"/>
      <w:lvlText w:val="•"/>
      <w:lvlJc w:val="left"/>
      <w:pPr>
        <w:ind w:left="3156" w:hanging="360"/>
      </w:pPr>
      <w:rPr>
        <w:rFonts w:hint="default"/>
        <w:lang w:val="en-US" w:eastAsia="en-US" w:bidi="en-US"/>
      </w:rPr>
    </w:lvl>
    <w:lvl w:ilvl="3" w:tplc="25E29DC4">
      <w:numFmt w:val="bullet"/>
      <w:lvlText w:val="•"/>
      <w:lvlJc w:val="left"/>
      <w:pPr>
        <w:ind w:left="4134" w:hanging="360"/>
      </w:pPr>
      <w:rPr>
        <w:rFonts w:hint="default"/>
        <w:lang w:val="en-US" w:eastAsia="en-US" w:bidi="en-US"/>
      </w:rPr>
    </w:lvl>
    <w:lvl w:ilvl="4" w:tplc="E8E66B12">
      <w:numFmt w:val="bullet"/>
      <w:lvlText w:val="•"/>
      <w:lvlJc w:val="left"/>
      <w:pPr>
        <w:ind w:left="5112" w:hanging="360"/>
      </w:pPr>
      <w:rPr>
        <w:rFonts w:hint="default"/>
        <w:lang w:val="en-US" w:eastAsia="en-US" w:bidi="en-US"/>
      </w:rPr>
    </w:lvl>
    <w:lvl w:ilvl="5" w:tplc="E7B83CB2">
      <w:numFmt w:val="bullet"/>
      <w:lvlText w:val="•"/>
      <w:lvlJc w:val="left"/>
      <w:pPr>
        <w:ind w:left="6090" w:hanging="360"/>
      </w:pPr>
      <w:rPr>
        <w:rFonts w:hint="default"/>
        <w:lang w:val="en-US" w:eastAsia="en-US" w:bidi="en-US"/>
      </w:rPr>
    </w:lvl>
    <w:lvl w:ilvl="6" w:tplc="DCC63802">
      <w:numFmt w:val="bullet"/>
      <w:lvlText w:val="•"/>
      <w:lvlJc w:val="left"/>
      <w:pPr>
        <w:ind w:left="7068" w:hanging="360"/>
      </w:pPr>
      <w:rPr>
        <w:rFonts w:hint="default"/>
        <w:lang w:val="en-US" w:eastAsia="en-US" w:bidi="en-US"/>
      </w:rPr>
    </w:lvl>
    <w:lvl w:ilvl="7" w:tplc="F5181E26">
      <w:numFmt w:val="bullet"/>
      <w:lvlText w:val="•"/>
      <w:lvlJc w:val="left"/>
      <w:pPr>
        <w:ind w:left="8046" w:hanging="360"/>
      </w:pPr>
      <w:rPr>
        <w:rFonts w:hint="default"/>
        <w:lang w:val="en-US" w:eastAsia="en-US" w:bidi="en-US"/>
      </w:rPr>
    </w:lvl>
    <w:lvl w:ilvl="8" w:tplc="1ECE282A">
      <w:numFmt w:val="bullet"/>
      <w:lvlText w:val="•"/>
      <w:lvlJc w:val="left"/>
      <w:pPr>
        <w:ind w:left="9024" w:hanging="360"/>
      </w:pPr>
      <w:rPr>
        <w:rFonts w:hint="default"/>
        <w:lang w:val="en-US" w:eastAsia="en-US" w:bidi="en-US"/>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328FA"/>
    <w:multiLevelType w:val="hybridMultilevel"/>
    <w:tmpl w:val="51660DB2"/>
    <w:lvl w:ilvl="0" w:tplc="C7D6F9CE">
      <w:numFmt w:val="bullet"/>
      <w:lvlText w:val="•"/>
      <w:lvlJc w:val="left"/>
      <w:pPr>
        <w:ind w:left="1922"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9B439C"/>
    <w:multiLevelType w:val="hybridMultilevel"/>
    <w:tmpl w:val="DE167F8A"/>
    <w:lvl w:ilvl="0" w:tplc="C7D6F9CE">
      <w:numFmt w:val="bullet"/>
      <w:lvlText w:val="•"/>
      <w:lvlJc w:val="left"/>
      <w:pPr>
        <w:ind w:left="1202"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5"/>
  </w:num>
  <w:num w:numId="24">
    <w:abstractNumId w:val="13"/>
  </w:num>
  <w:num w:numId="25">
    <w:abstractNumId w:val="22"/>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49"/>
    <w:rsid w:val="0000272F"/>
    <w:rsid w:val="000F554D"/>
    <w:rsid w:val="000F691A"/>
    <w:rsid w:val="00191DCA"/>
    <w:rsid w:val="001E5FBB"/>
    <w:rsid w:val="001E79EE"/>
    <w:rsid w:val="002107BB"/>
    <w:rsid w:val="00414FAD"/>
    <w:rsid w:val="00453885"/>
    <w:rsid w:val="0047478F"/>
    <w:rsid w:val="004F6ADC"/>
    <w:rsid w:val="005518EE"/>
    <w:rsid w:val="00591E08"/>
    <w:rsid w:val="00645252"/>
    <w:rsid w:val="00670CDD"/>
    <w:rsid w:val="006D3D74"/>
    <w:rsid w:val="006E240D"/>
    <w:rsid w:val="00706FBB"/>
    <w:rsid w:val="007524DA"/>
    <w:rsid w:val="007604D0"/>
    <w:rsid w:val="0076670E"/>
    <w:rsid w:val="007D7F52"/>
    <w:rsid w:val="00817449"/>
    <w:rsid w:val="0083569A"/>
    <w:rsid w:val="00932E45"/>
    <w:rsid w:val="00A371F0"/>
    <w:rsid w:val="00A84C2F"/>
    <w:rsid w:val="00A9204E"/>
    <w:rsid w:val="00B52A2A"/>
    <w:rsid w:val="00B82A70"/>
    <w:rsid w:val="00B8775D"/>
    <w:rsid w:val="00BE6128"/>
    <w:rsid w:val="00C02B49"/>
    <w:rsid w:val="00C60998"/>
    <w:rsid w:val="00C8718B"/>
    <w:rsid w:val="00CA6F4E"/>
    <w:rsid w:val="00CE0A3D"/>
    <w:rsid w:val="00CF2550"/>
    <w:rsid w:val="00D7073A"/>
    <w:rsid w:val="00D924DD"/>
    <w:rsid w:val="00DC2359"/>
    <w:rsid w:val="00E5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B64C68"/>
  <w15:chartTrackingRefBased/>
  <w15:docId w15:val="{8C5AB65A-F8F2-44E7-810E-4EB82A37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81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817449"/>
    <w:rPr>
      <w:rFonts w:ascii="Arial" w:hAnsi="Arial"/>
      <w:b/>
      <w:sz w:val="22"/>
    </w:rPr>
  </w:style>
  <w:style w:type="character" w:customStyle="1" w:styleId="Style8">
    <w:name w:val="Style8"/>
    <w:basedOn w:val="DefaultParagraphFont"/>
    <w:uiPriority w:val="1"/>
    <w:rsid w:val="00817449"/>
    <w:rPr>
      <w:rFonts w:ascii="Arial" w:hAnsi="Arial"/>
      <w:b/>
      <w:sz w:val="24"/>
    </w:rPr>
  </w:style>
  <w:style w:type="character" w:customStyle="1" w:styleId="Style10">
    <w:name w:val="Style10"/>
    <w:basedOn w:val="DefaultParagraphFont"/>
    <w:uiPriority w:val="1"/>
    <w:rsid w:val="00817449"/>
    <w:rPr>
      <w:rFonts w:ascii="Arial" w:hAnsi="Arial"/>
      <w:sz w:val="24"/>
    </w:rPr>
  </w:style>
  <w:style w:type="character" w:customStyle="1" w:styleId="Style4">
    <w:name w:val="Style4"/>
    <w:basedOn w:val="DefaultParagraphFont"/>
    <w:uiPriority w:val="1"/>
    <w:rsid w:val="00817449"/>
    <w:rPr>
      <w:rFonts w:ascii="Arial" w:hAnsi="Arial"/>
      <w:b/>
      <w:color w:val="0070C0"/>
      <w:sz w:val="24"/>
    </w:rPr>
  </w:style>
  <w:style w:type="character" w:customStyle="1" w:styleId="Style5">
    <w:name w:val="Style5"/>
    <w:basedOn w:val="DefaultParagraphFont"/>
    <w:uiPriority w:val="1"/>
    <w:rsid w:val="00817449"/>
    <w:rPr>
      <w:rFonts w:ascii="Arial" w:hAnsi="Arial"/>
      <w:b/>
      <w:sz w:val="22"/>
    </w:rPr>
  </w:style>
  <w:style w:type="character" w:customStyle="1" w:styleId="Style25">
    <w:name w:val="Style25"/>
    <w:basedOn w:val="DefaultParagraphFont"/>
    <w:uiPriority w:val="1"/>
    <w:rsid w:val="00817449"/>
    <w:rPr>
      <w:rFonts w:ascii="Arial" w:hAnsi="Arial"/>
      <w:color w:val="2E74B5" w:themeColor="accent1" w:themeShade="BF"/>
      <w:sz w:val="16"/>
    </w:rPr>
  </w:style>
  <w:style w:type="character" w:customStyle="1" w:styleId="Style27">
    <w:name w:val="Style27"/>
    <w:basedOn w:val="DefaultParagraphFont"/>
    <w:uiPriority w:val="1"/>
    <w:rsid w:val="00817449"/>
    <w:rPr>
      <w:rFonts w:ascii="Arial" w:hAnsi="Arial"/>
      <w:color w:val="2E74B5" w:themeColor="accent1" w:themeShade="BF"/>
      <w:sz w:val="28"/>
    </w:rPr>
  </w:style>
  <w:style w:type="paragraph" w:styleId="ListParagraph">
    <w:name w:val="List Paragraph"/>
    <w:basedOn w:val="Normal"/>
    <w:uiPriority w:val="1"/>
    <w:unhideWhenUsed/>
    <w:qFormat/>
    <w:rsid w:val="0047478F"/>
    <w:pPr>
      <w:ind w:left="720"/>
      <w:contextualSpacing/>
    </w:pPr>
  </w:style>
  <w:style w:type="paragraph" w:styleId="BodyText">
    <w:name w:val="Body Text"/>
    <w:basedOn w:val="Normal"/>
    <w:link w:val="BodyTextChar"/>
    <w:uiPriority w:val="99"/>
    <w:unhideWhenUsed/>
    <w:rsid w:val="007524DA"/>
    <w:pPr>
      <w:spacing w:after="120"/>
    </w:pPr>
  </w:style>
  <w:style w:type="character" w:customStyle="1" w:styleId="BodyTextChar">
    <w:name w:val="Body Text Char"/>
    <w:basedOn w:val="DefaultParagraphFont"/>
    <w:link w:val="BodyText"/>
    <w:uiPriority w:val="99"/>
    <w:rsid w:val="0075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cc.owi-workforce-policy@hecc.orego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a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4873beb7-5857-4685-be1f-d57550cc96cc"/>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Frater</dc:creator>
  <cp:keywords/>
  <dc:description/>
  <cp:lastModifiedBy>FITZGERALD Theresa * HECC</cp:lastModifiedBy>
  <cp:revision>13</cp:revision>
  <dcterms:created xsi:type="dcterms:W3CDTF">2022-02-01T20:12:00Z</dcterms:created>
  <dcterms:modified xsi:type="dcterms:W3CDTF">2022-02-01T20:29:00Z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