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0C5B" w14:textId="53F85E08" w:rsidR="0000272F" w:rsidRPr="00C8718B" w:rsidRDefault="0000272F" w:rsidP="00BE6128">
      <w:pPr>
        <w:keepNext/>
        <w:spacing w:after="60" w:line="276" w:lineRule="auto"/>
        <w:rPr>
          <w:rFonts w:ascii="Tahoma" w:hAnsi="Tahoma" w:cs="Tahoma"/>
          <w:b/>
          <w:color w:val="757D5A"/>
          <w:sz w:val="24"/>
          <w:szCs w:val="24"/>
        </w:rPr>
      </w:pPr>
      <w:bookmarkStart w:id="0" w:name="_GoBack"/>
      <w:bookmarkEnd w:id="0"/>
      <w:r w:rsidRPr="00C8718B">
        <w:rPr>
          <w:rFonts w:ascii="Tahoma" w:hAnsi="Tahoma" w:cs="Tahoma"/>
          <w:b/>
          <w:color w:val="757D5A"/>
          <w:sz w:val="24"/>
          <w:szCs w:val="24"/>
        </w:rPr>
        <w:t>Overview</w:t>
      </w:r>
    </w:p>
    <w:p w14:paraId="0F8D7278" w14:textId="3C02D5B4" w:rsidR="0000272F" w:rsidRPr="003D622F" w:rsidRDefault="002136A1" w:rsidP="0000272F">
      <w:p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 xml:space="preserve">This policy describes the </w:t>
      </w:r>
      <w:r w:rsidR="000A4A16" w:rsidRPr="003D622F">
        <w:rPr>
          <w:rFonts w:ascii="Tahoma" w:hAnsi="Tahoma" w:cs="Tahoma"/>
        </w:rPr>
        <w:t>circumstances under which corrective action</w:t>
      </w:r>
      <w:r w:rsidR="008960F2" w:rsidRPr="003D622F">
        <w:rPr>
          <w:rFonts w:ascii="Tahoma" w:hAnsi="Tahoma" w:cs="Tahoma"/>
        </w:rPr>
        <w:t xml:space="preserve"> and sanctions </w:t>
      </w:r>
      <w:r w:rsidR="00F5558D" w:rsidRPr="003D622F">
        <w:rPr>
          <w:rFonts w:ascii="Tahoma" w:hAnsi="Tahoma" w:cs="Tahoma"/>
        </w:rPr>
        <w:t>will be</w:t>
      </w:r>
      <w:r w:rsidR="000A4A16" w:rsidRPr="003D622F">
        <w:rPr>
          <w:rFonts w:ascii="Tahoma" w:hAnsi="Tahoma" w:cs="Tahoma"/>
        </w:rPr>
        <w:t xml:space="preserve"> applied to local areas for failure to meet </w:t>
      </w:r>
      <w:r w:rsidR="005555C5" w:rsidRPr="003D622F">
        <w:rPr>
          <w:rFonts w:ascii="Tahoma" w:hAnsi="Tahoma" w:cs="Tahoma"/>
        </w:rPr>
        <w:t xml:space="preserve">negotiated </w:t>
      </w:r>
      <w:r w:rsidR="000A4A16" w:rsidRPr="003D622F">
        <w:rPr>
          <w:rFonts w:ascii="Tahoma" w:hAnsi="Tahoma" w:cs="Tahoma"/>
        </w:rPr>
        <w:t>level</w:t>
      </w:r>
      <w:r w:rsidR="002346D6" w:rsidRPr="003D622F">
        <w:rPr>
          <w:rFonts w:ascii="Tahoma" w:hAnsi="Tahoma" w:cs="Tahoma"/>
        </w:rPr>
        <w:t>s</w:t>
      </w:r>
      <w:r w:rsidR="000A4A16" w:rsidRPr="003D622F">
        <w:rPr>
          <w:rFonts w:ascii="Tahoma" w:hAnsi="Tahoma" w:cs="Tahoma"/>
        </w:rPr>
        <w:t xml:space="preserve"> of performance</w:t>
      </w:r>
      <w:r w:rsidR="002346D6" w:rsidRPr="003D622F">
        <w:rPr>
          <w:rFonts w:ascii="Tahoma" w:hAnsi="Tahoma" w:cs="Tahoma"/>
        </w:rPr>
        <w:t xml:space="preserve"> in the adult, dislocated worker and youth programs authorized under the Workforce In</w:t>
      </w:r>
      <w:r w:rsidR="004D03DB">
        <w:rPr>
          <w:rFonts w:ascii="Tahoma" w:hAnsi="Tahoma" w:cs="Tahoma"/>
        </w:rPr>
        <w:t>novation</w:t>
      </w:r>
      <w:r w:rsidR="002346D6" w:rsidRPr="003D622F">
        <w:rPr>
          <w:rFonts w:ascii="Tahoma" w:hAnsi="Tahoma" w:cs="Tahoma"/>
        </w:rPr>
        <w:t xml:space="preserve"> and Opportunity Act (WIOA) </w:t>
      </w:r>
      <w:r w:rsidR="00A36CEC">
        <w:rPr>
          <w:rFonts w:ascii="Tahoma" w:hAnsi="Tahoma" w:cs="Tahoma"/>
        </w:rPr>
        <w:t>Title</w:t>
      </w:r>
      <w:r w:rsidR="002346D6" w:rsidRPr="003D622F">
        <w:rPr>
          <w:rFonts w:ascii="Tahoma" w:hAnsi="Tahoma" w:cs="Tahoma"/>
        </w:rPr>
        <w:t xml:space="preserve"> I</w:t>
      </w:r>
      <w:r w:rsidR="000A4A16" w:rsidRPr="003D622F">
        <w:rPr>
          <w:rFonts w:ascii="Tahoma" w:hAnsi="Tahoma" w:cs="Tahoma"/>
        </w:rPr>
        <w:t xml:space="preserve">. </w:t>
      </w:r>
    </w:p>
    <w:p w14:paraId="4BB9E3FE" w14:textId="77777777" w:rsidR="00A34EE0" w:rsidRPr="00C8718B" w:rsidRDefault="00A34EE0" w:rsidP="0000272F">
      <w:pPr>
        <w:spacing w:line="276" w:lineRule="auto"/>
        <w:rPr>
          <w:rFonts w:ascii="Tahoma" w:hAnsi="Tahoma" w:cs="Tahoma"/>
        </w:rPr>
      </w:pPr>
    </w:p>
    <w:p w14:paraId="6F3D093F" w14:textId="59955D13" w:rsidR="0000272F" w:rsidRPr="00C8718B" w:rsidRDefault="0000272F" w:rsidP="00BE6128">
      <w:pPr>
        <w:keepNext/>
        <w:spacing w:after="60" w:line="276" w:lineRule="auto"/>
        <w:rPr>
          <w:rFonts w:ascii="Tahoma" w:hAnsi="Tahoma" w:cs="Tahoma"/>
          <w:b/>
          <w:color w:val="757D5A"/>
          <w:sz w:val="24"/>
          <w:szCs w:val="24"/>
        </w:rPr>
      </w:pPr>
      <w:r w:rsidRPr="00C8718B">
        <w:rPr>
          <w:rFonts w:ascii="Tahoma" w:hAnsi="Tahoma" w:cs="Tahoma"/>
          <w:b/>
          <w:color w:val="757D5A"/>
          <w:sz w:val="24"/>
          <w:szCs w:val="24"/>
        </w:rPr>
        <w:t xml:space="preserve">Policy </w:t>
      </w:r>
      <w:r w:rsidR="00962562">
        <w:rPr>
          <w:rFonts w:ascii="Tahoma" w:hAnsi="Tahoma" w:cs="Tahoma"/>
          <w:b/>
          <w:color w:val="757D5A"/>
          <w:sz w:val="24"/>
          <w:szCs w:val="24"/>
        </w:rPr>
        <w:t>Statement</w:t>
      </w:r>
    </w:p>
    <w:p w14:paraId="026D4823" w14:textId="53CD3667" w:rsidR="002136A1" w:rsidRPr="003D622F" w:rsidRDefault="005555C5" w:rsidP="002346D6">
      <w:p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>The Higher Education Coordinating Commission</w:t>
      </w:r>
      <w:r w:rsidR="00FD06E9" w:rsidRPr="003D622F">
        <w:rPr>
          <w:rFonts w:ascii="Tahoma" w:hAnsi="Tahoma" w:cs="Tahoma"/>
        </w:rPr>
        <w:t xml:space="preserve"> (HECC)</w:t>
      </w:r>
      <w:r w:rsidRPr="003D622F">
        <w:rPr>
          <w:rFonts w:ascii="Tahoma" w:hAnsi="Tahoma" w:cs="Tahoma"/>
        </w:rPr>
        <w:t xml:space="preserve"> Office of Workforce Investments (OWI), Local Workforce Development Board, and chief elected official agree to </w:t>
      </w:r>
      <w:r w:rsidR="00534669" w:rsidRPr="003D622F">
        <w:rPr>
          <w:rFonts w:ascii="Tahoma" w:hAnsi="Tahoma" w:cs="Tahoma"/>
        </w:rPr>
        <w:t xml:space="preserve">local negotiated levels of performance for </w:t>
      </w:r>
      <w:r w:rsidRPr="003D622F">
        <w:rPr>
          <w:rFonts w:ascii="Tahoma" w:hAnsi="Tahoma" w:cs="Tahoma"/>
        </w:rPr>
        <w:t xml:space="preserve">each local area. </w:t>
      </w:r>
      <w:r w:rsidR="002C1C8E" w:rsidRPr="003D622F">
        <w:rPr>
          <w:rFonts w:ascii="Tahoma" w:hAnsi="Tahoma" w:cs="Tahoma"/>
        </w:rPr>
        <w:t xml:space="preserve">OWI will negotiate and establish performance indicator scores with each local workforce development area, for each of the WIOA </w:t>
      </w:r>
      <w:r w:rsidR="00A36CEC">
        <w:rPr>
          <w:rFonts w:ascii="Tahoma" w:hAnsi="Tahoma" w:cs="Tahoma"/>
        </w:rPr>
        <w:t>Title</w:t>
      </w:r>
      <w:r w:rsidR="002C1C8E" w:rsidRPr="003D622F">
        <w:rPr>
          <w:rFonts w:ascii="Tahoma" w:hAnsi="Tahoma" w:cs="Tahoma"/>
        </w:rPr>
        <w:t xml:space="preserve"> I programs it administers (</w:t>
      </w:r>
      <w:r w:rsidR="004D03DB">
        <w:rPr>
          <w:rFonts w:ascii="Tahoma" w:hAnsi="Tahoma" w:cs="Tahoma"/>
        </w:rPr>
        <w:t>a</w:t>
      </w:r>
      <w:r w:rsidR="002C1C8E" w:rsidRPr="003D622F">
        <w:rPr>
          <w:rFonts w:ascii="Tahoma" w:hAnsi="Tahoma" w:cs="Tahoma"/>
        </w:rPr>
        <w:t xml:space="preserve">dult, </w:t>
      </w:r>
      <w:r w:rsidR="004D03DB">
        <w:rPr>
          <w:rFonts w:ascii="Tahoma" w:hAnsi="Tahoma" w:cs="Tahoma"/>
        </w:rPr>
        <w:t>d</w:t>
      </w:r>
      <w:r w:rsidR="002C1C8E" w:rsidRPr="003D622F">
        <w:rPr>
          <w:rFonts w:ascii="Tahoma" w:hAnsi="Tahoma" w:cs="Tahoma"/>
        </w:rPr>
        <w:t xml:space="preserve">islocated </w:t>
      </w:r>
      <w:r w:rsidR="004D03DB">
        <w:rPr>
          <w:rFonts w:ascii="Tahoma" w:hAnsi="Tahoma" w:cs="Tahoma"/>
        </w:rPr>
        <w:t>w</w:t>
      </w:r>
      <w:r w:rsidR="002C1C8E" w:rsidRPr="003D622F">
        <w:rPr>
          <w:rFonts w:ascii="Tahoma" w:hAnsi="Tahoma" w:cs="Tahoma"/>
        </w:rPr>
        <w:t xml:space="preserve">orker, and </w:t>
      </w:r>
      <w:r w:rsidR="004D03DB">
        <w:rPr>
          <w:rFonts w:ascii="Tahoma" w:hAnsi="Tahoma" w:cs="Tahoma"/>
        </w:rPr>
        <w:t>y</w:t>
      </w:r>
      <w:r w:rsidR="002C1C8E" w:rsidRPr="003D622F">
        <w:rPr>
          <w:rFonts w:ascii="Tahoma" w:hAnsi="Tahoma" w:cs="Tahoma"/>
        </w:rPr>
        <w:t>outh).</w:t>
      </w:r>
      <w:r w:rsidRPr="003D622F">
        <w:rPr>
          <w:rFonts w:ascii="Tahoma" w:hAnsi="Tahoma" w:cs="Tahoma"/>
        </w:rPr>
        <w:t xml:space="preserve"> </w:t>
      </w:r>
    </w:p>
    <w:p w14:paraId="0481B85F" w14:textId="7F8AD193" w:rsidR="00EB44C4" w:rsidRPr="003D622F" w:rsidRDefault="00EB44C4" w:rsidP="002346D6">
      <w:pPr>
        <w:spacing w:line="276" w:lineRule="auto"/>
        <w:rPr>
          <w:rFonts w:ascii="Tahoma" w:hAnsi="Tahoma" w:cs="Tahoma"/>
        </w:rPr>
      </w:pPr>
    </w:p>
    <w:p w14:paraId="0B96F608" w14:textId="0A68BC77" w:rsidR="00EB44C4" w:rsidRPr="003D622F" w:rsidRDefault="00EB44C4" w:rsidP="002346D6">
      <w:p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>The general procedure for local area performance negotiations is:</w:t>
      </w:r>
    </w:p>
    <w:p w14:paraId="6F12D826" w14:textId="02ACE95C" w:rsidR="00EB44C4" w:rsidRPr="003D622F" w:rsidRDefault="00EB44C4" w:rsidP="00EB44C4">
      <w:pPr>
        <w:pStyle w:val="ListParagraph"/>
        <w:numPr>
          <w:ilvl w:val="0"/>
          <w:numId w:val="28"/>
        </w:num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 xml:space="preserve">Once the </w:t>
      </w:r>
      <w:r w:rsidR="004D03DB">
        <w:rPr>
          <w:rFonts w:ascii="Tahoma" w:hAnsi="Tahoma" w:cs="Tahoma"/>
        </w:rPr>
        <w:t>s</w:t>
      </w:r>
      <w:r w:rsidRPr="003D622F">
        <w:rPr>
          <w:rFonts w:ascii="Tahoma" w:hAnsi="Tahoma" w:cs="Tahoma"/>
        </w:rPr>
        <w:t xml:space="preserve">tate has completed statewide performance negotiations with the Department of Labor (DOL) for all WIOA </w:t>
      </w:r>
      <w:r w:rsidR="00A36CEC">
        <w:rPr>
          <w:rFonts w:ascii="Tahoma" w:hAnsi="Tahoma" w:cs="Tahoma"/>
        </w:rPr>
        <w:t>Title</w:t>
      </w:r>
      <w:r w:rsidRPr="003D622F">
        <w:rPr>
          <w:rFonts w:ascii="Tahoma" w:hAnsi="Tahoma" w:cs="Tahoma"/>
        </w:rPr>
        <w:t xml:space="preserve"> I program</w:t>
      </w:r>
      <w:r w:rsidR="004D03DB">
        <w:rPr>
          <w:rFonts w:ascii="Tahoma" w:hAnsi="Tahoma" w:cs="Tahoma"/>
        </w:rPr>
        <w:t>s</w:t>
      </w:r>
      <w:r w:rsidRPr="003D622F">
        <w:rPr>
          <w:rFonts w:ascii="Tahoma" w:hAnsi="Tahoma" w:cs="Tahoma"/>
        </w:rPr>
        <w:t xml:space="preserve"> and has established </w:t>
      </w:r>
      <w:r w:rsidR="00FD06E9" w:rsidRPr="003D622F">
        <w:rPr>
          <w:rFonts w:ascii="Tahoma" w:hAnsi="Tahoma" w:cs="Tahoma"/>
        </w:rPr>
        <w:t xml:space="preserve">state-level </w:t>
      </w:r>
      <w:r w:rsidRPr="003D622F">
        <w:rPr>
          <w:rFonts w:ascii="Tahoma" w:hAnsi="Tahoma" w:cs="Tahoma"/>
        </w:rPr>
        <w:t xml:space="preserve">performance indicator targets, OWI will share with all local workforce </w:t>
      </w:r>
      <w:r w:rsidR="00FD06E9" w:rsidRPr="003D622F">
        <w:rPr>
          <w:rFonts w:ascii="Tahoma" w:hAnsi="Tahoma" w:cs="Tahoma"/>
        </w:rPr>
        <w:t>areas</w:t>
      </w:r>
      <w:r w:rsidRPr="003D622F">
        <w:rPr>
          <w:rFonts w:ascii="Tahoma" w:hAnsi="Tahoma" w:cs="Tahoma"/>
        </w:rPr>
        <w:t>:</w:t>
      </w:r>
    </w:p>
    <w:p w14:paraId="6F88AF4E" w14:textId="3E811D07" w:rsidR="00EB44C4" w:rsidRPr="003D622F" w:rsidRDefault="00EB44C4" w:rsidP="00EB44C4">
      <w:pPr>
        <w:pStyle w:val="ListParagraph"/>
        <w:numPr>
          <w:ilvl w:val="1"/>
          <w:numId w:val="28"/>
        </w:num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 xml:space="preserve">The state-level WIOA </w:t>
      </w:r>
      <w:r w:rsidR="00A36CEC">
        <w:rPr>
          <w:rFonts w:ascii="Tahoma" w:hAnsi="Tahoma" w:cs="Tahoma"/>
        </w:rPr>
        <w:t>Title</w:t>
      </w:r>
      <w:r w:rsidRPr="003D622F">
        <w:rPr>
          <w:rFonts w:ascii="Tahoma" w:hAnsi="Tahoma" w:cs="Tahoma"/>
        </w:rPr>
        <w:t xml:space="preserve"> I programs’ targets</w:t>
      </w:r>
      <w:r w:rsidR="00FD06E9" w:rsidRPr="003D622F">
        <w:rPr>
          <w:rFonts w:ascii="Tahoma" w:hAnsi="Tahoma" w:cs="Tahoma"/>
        </w:rPr>
        <w:t>;</w:t>
      </w:r>
    </w:p>
    <w:p w14:paraId="17F37F86" w14:textId="3C5B3A6E" w:rsidR="00FD06E9" w:rsidRPr="003D622F" w:rsidRDefault="00FD06E9" w:rsidP="00EB44C4">
      <w:pPr>
        <w:pStyle w:val="ListParagraph"/>
        <w:numPr>
          <w:ilvl w:val="1"/>
          <w:numId w:val="28"/>
        </w:num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>The l</w:t>
      </w:r>
      <w:r w:rsidR="00EB44C4" w:rsidRPr="003D622F">
        <w:rPr>
          <w:rFonts w:ascii="Tahoma" w:hAnsi="Tahoma" w:cs="Tahoma"/>
        </w:rPr>
        <w:t>ocal area</w:t>
      </w:r>
      <w:r w:rsidRPr="003D622F">
        <w:rPr>
          <w:rFonts w:ascii="Tahoma" w:hAnsi="Tahoma" w:cs="Tahoma"/>
        </w:rPr>
        <w:t>’s specific</w:t>
      </w:r>
      <w:r w:rsidR="00EB44C4" w:rsidRPr="003D622F">
        <w:rPr>
          <w:rFonts w:ascii="Tahoma" w:hAnsi="Tahoma" w:cs="Tahoma"/>
        </w:rPr>
        <w:t xml:space="preserve"> performance</w:t>
      </w:r>
      <w:r w:rsidRPr="003D622F">
        <w:rPr>
          <w:rFonts w:ascii="Tahoma" w:hAnsi="Tahoma" w:cs="Tahoma"/>
        </w:rPr>
        <w:t xml:space="preserve"> outcomes from the previous program year; and</w:t>
      </w:r>
    </w:p>
    <w:p w14:paraId="07460F51" w14:textId="5A36F1C6" w:rsidR="00EB44C4" w:rsidRPr="003D622F" w:rsidRDefault="00FD06E9" w:rsidP="00EB44C4">
      <w:pPr>
        <w:pStyle w:val="ListParagraph"/>
        <w:numPr>
          <w:ilvl w:val="1"/>
          <w:numId w:val="28"/>
        </w:num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 xml:space="preserve">Any local area performance projections/estimates (by program) as determined by the </w:t>
      </w:r>
      <w:r w:rsidR="004D03DB">
        <w:rPr>
          <w:rFonts w:ascii="Tahoma" w:hAnsi="Tahoma" w:cs="Tahoma"/>
        </w:rPr>
        <w:t>s</w:t>
      </w:r>
      <w:r w:rsidRPr="003D622F">
        <w:rPr>
          <w:rFonts w:ascii="Tahoma" w:hAnsi="Tahoma" w:cs="Tahoma"/>
        </w:rPr>
        <w:t>tate’s use of statistical models or other analysis methods.</w:t>
      </w:r>
    </w:p>
    <w:p w14:paraId="5430DFA7" w14:textId="7FC68614" w:rsidR="00FD06E9" w:rsidRPr="003D622F" w:rsidRDefault="00FD06E9" w:rsidP="00FD06E9">
      <w:pPr>
        <w:pStyle w:val="ListParagraph"/>
        <w:numPr>
          <w:ilvl w:val="0"/>
          <w:numId w:val="28"/>
        </w:num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>Local areas will be asked to propose performance targets to OWI (by program</w:t>
      </w:r>
      <w:r w:rsidR="00385F15" w:rsidRPr="003D622F">
        <w:rPr>
          <w:rFonts w:ascii="Tahoma" w:hAnsi="Tahoma" w:cs="Tahoma"/>
        </w:rPr>
        <w:t xml:space="preserve"> and indicator</w:t>
      </w:r>
      <w:r w:rsidRPr="003D622F">
        <w:rPr>
          <w:rFonts w:ascii="Tahoma" w:hAnsi="Tahoma" w:cs="Tahoma"/>
        </w:rPr>
        <w:t xml:space="preserve">) that align with current data, will contribute to the </w:t>
      </w:r>
      <w:r w:rsidR="004D03DB">
        <w:rPr>
          <w:rFonts w:ascii="Tahoma" w:hAnsi="Tahoma" w:cs="Tahoma"/>
        </w:rPr>
        <w:t>s</w:t>
      </w:r>
      <w:r w:rsidRPr="003D622F">
        <w:rPr>
          <w:rFonts w:ascii="Tahoma" w:hAnsi="Tahoma" w:cs="Tahoma"/>
        </w:rPr>
        <w:t>tate attaining its state-level targets and, ideally, reflect an upward trend in performance outcomes for the local area.</w:t>
      </w:r>
    </w:p>
    <w:p w14:paraId="7DD8E99F" w14:textId="1E7C4804" w:rsidR="00FD06E9" w:rsidRPr="003D622F" w:rsidRDefault="00FD06E9" w:rsidP="00FD06E9">
      <w:pPr>
        <w:pStyle w:val="ListParagraph"/>
        <w:numPr>
          <w:ilvl w:val="0"/>
          <w:numId w:val="28"/>
        </w:num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 xml:space="preserve">OWI staff will review the local proposal(s) and meet with locally-designated staff to discuss </w:t>
      </w:r>
      <w:r w:rsidR="00385F15" w:rsidRPr="003D622F">
        <w:rPr>
          <w:rFonts w:ascii="Tahoma" w:hAnsi="Tahoma" w:cs="Tahoma"/>
        </w:rPr>
        <w:t>whether the proposals are accepted or need revision.</w:t>
      </w:r>
      <w:r w:rsidRPr="003D622F">
        <w:rPr>
          <w:rFonts w:ascii="Tahoma" w:hAnsi="Tahoma" w:cs="Tahoma"/>
        </w:rPr>
        <w:t xml:space="preserve"> </w:t>
      </w:r>
    </w:p>
    <w:p w14:paraId="5C4F1112" w14:textId="54C47DBE" w:rsidR="00385F15" w:rsidRPr="003D622F" w:rsidRDefault="00385F15" w:rsidP="00FD06E9">
      <w:pPr>
        <w:pStyle w:val="ListParagraph"/>
        <w:numPr>
          <w:ilvl w:val="0"/>
          <w:numId w:val="28"/>
        </w:num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 xml:space="preserve">At its discretion, OWI may require a local area to revise its proposal for one or more performance indicator targets. Typical reasons for revision include, but are not limited to: </w:t>
      </w:r>
    </w:p>
    <w:p w14:paraId="6E00F29A" w14:textId="4207B24A" w:rsidR="00385F15" w:rsidRPr="003D622F" w:rsidRDefault="00385F15" w:rsidP="00385F15">
      <w:pPr>
        <w:pStyle w:val="ListParagraph"/>
        <w:numPr>
          <w:ilvl w:val="1"/>
          <w:numId w:val="28"/>
        </w:num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>Targets that do not reflect current/recent trends in local performance; or</w:t>
      </w:r>
    </w:p>
    <w:p w14:paraId="373E94D4" w14:textId="07D3614C" w:rsidR="00385F15" w:rsidRPr="003D622F" w:rsidRDefault="00385F15" w:rsidP="00385F15">
      <w:pPr>
        <w:pStyle w:val="ListParagraph"/>
        <w:numPr>
          <w:ilvl w:val="1"/>
          <w:numId w:val="28"/>
        </w:num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>Targets that are significantly below the state-level target for the same measure, without justification (as provided by the local area).</w:t>
      </w:r>
    </w:p>
    <w:p w14:paraId="53486624" w14:textId="77777777" w:rsidR="00385F15" w:rsidRPr="003D622F" w:rsidRDefault="00385F15" w:rsidP="00B92E3D">
      <w:pPr>
        <w:pStyle w:val="ListParagraph"/>
        <w:spacing w:line="276" w:lineRule="auto"/>
        <w:ind w:left="1440"/>
        <w:rPr>
          <w:rFonts w:ascii="Tahoma" w:hAnsi="Tahoma" w:cs="Tahoma"/>
        </w:rPr>
      </w:pPr>
    </w:p>
    <w:p w14:paraId="03787410" w14:textId="21C968DF" w:rsidR="003D3F38" w:rsidRPr="003D622F" w:rsidRDefault="009A4D0C" w:rsidP="00385F1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OWI</w:t>
      </w:r>
      <w:r w:rsidR="003D3F38" w:rsidRPr="003D622F">
        <w:rPr>
          <w:rFonts w:ascii="Tahoma" w:hAnsi="Tahoma" w:cs="Tahoma"/>
        </w:rPr>
        <w:t xml:space="preserve"> will emulate the DOL as to which performance indicators will be subject to failure; only indicators that are subject to accountability by DOL at the state-level will be subject to the local area’s threshold for failure</w:t>
      </w:r>
      <w:r w:rsidR="00DA23E2" w:rsidRPr="003D622F">
        <w:rPr>
          <w:rFonts w:ascii="Tahoma" w:hAnsi="Tahoma" w:cs="Tahoma"/>
        </w:rPr>
        <w:t xml:space="preserve"> guidelines</w:t>
      </w:r>
      <w:r w:rsidR="003D3F38" w:rsidRPr="003D622F">
        <w:rPr>
          <w:rFonts w:ascii="Tahoma" w:hAnsi="Tahoma" w:cs="Tahoma"/>
        </w:rPr>
        <w:t xml:space="preserve">, below. </w:t>
      </w:r>
    </w:p>
    <w:p w14:paraId="60981085" w14:textId="77777777" w:rsidR="003D3F38" w:rsidRPr="003D622F" w:rsidRDefault="003D3F38" w:rsidP="00385F15">
      <w:pPr>
        <w:spacing w:line="276" w:lineRule="auto"/>
        <w:rPr>
          <w:rFonts w:ascii="Tahoma" w:hAnsi="Tahoma" w:cs="Tahoma"/>
        </w:rPr>
      </w:pPr>
    </w:p>
    <w:p w14:paraId="5A58FEEC" w14:textId="5B8C959E" w:rsidR="002C1C8E" w:rsidRPr="003D622F" w:rsidRDefault="002C1C8E" w:rsidP="002C1C8E">
      <w:p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 xml:space="preserve">The threshold for failure to meet negotiated levels of performance for </w:t>
      </w:r>
      <w:r w:rsidR="00F767B9">
        <w:rPr>
          <w:rFonts w:ascii="Tahoma" w:hAnsi="Tahoma" w:cs="Tahoma"/>
        </w:rPr>
        <w:t xml:space="preserve">a </w:t>
      </w:r>
      <w:r w:rsidRPr="003D622F">
        <w:rPr>
          <w:rFonts w:ascii="Tahoma" w:hAnsi="Tahoma" w:cs="Tahoma"/>
        </w:rPr>
        <w:t xml:space="preserve">local area occurs if: </w:t>
      </w:r>
    </w:p>
    <w:p w14:paraId="23387AF4" w14:textId="6E79B00E" w:rsidR="002C1C8E" w:rsidRPr="003D622F" w:rsidRDefault="002C1C8E" w:rsidP="002C1C8E">
      <w:pPr>
        <w:pStyle w:val="ListParagraph"/>
        <w:numPr>
          <w:ilvl w:val="0"/>
          <w:numId w:val="27"/>
        </w:num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>any single Individual Indicator Score for any single core program falls below 50 percent of the negotiated level of performance</w:t>
      </w:r>
      <w:r w:rsidR="007B072C">
        <w:rPr>
          <w:rFonts w:ascii="Tahoma" w:hAnsi="Tahoma" w:cs="Tahoma"/>
        </w:rPr>
        <w:t xml:space="preserve"> </w:t>
      </w:r>
      <w:r w:rsidR="00955BC6">
        <w:rPr>
          <w:rFonts w:ascii="Tahoma" w:hAnsi="Tahoma" w:cs="Tahoma"/>
        </w:rPr>
        <w:t>(</w:t>
      </w:r>
      <w:r w:rsidR="007B072C">
        <w:rPr>
          <w:rFonts w:ascii="Tahoma" w:hAnsi="Tahoma" w:cs="Tahoma"/>
        </w:rPr>
        <w:t>s</w:t>
      </w:r>
      <w:r w:rsidR="00955BC6">
        <w:rPr>
          <w:rFonts w:ascii="Tahoma" w:hAnsi="Tahoma" w:cs="Tahoma"/>
        </w:rPr>
        <w:t xml:space="preserve">ee </w:t>
      </w:r>
      <w:hyperlink w:anchor="Determining" w:history="1">
        <w:r w:rsidR="00955BC6" w:rsidRPr="004B5C97">
          <w:rPr>
            <w:rStyle w:val="Hyperlink"/>
            <w:rFonts w:ascii="Tahoma" w:hAnsi="Tahoma" w:cs="Tahoma"/>
            <w:bCs/>
          </w:rPr>
          <w:t>Determining performance/nonperformance (thresholds for failure</w:t>
        </w:r>
      </w:hyperlink>
      <w:r w:rsidR="00955BC6">
        <w:rPr>
          <w:rFonts w:ascii="Tahoma" w:hAnsi="Tahoma" w:cs="Tahoma"/>
        </w:rPr>
        <w:t>, below</w:t>
      </w:r>
      <w:r w:rsidR="007B072C">
        <w:rPr>
          <w:rFonts w:ascii="Tahoma" w:hAnsi="Tahoma" w:cs="Tahoma"/>
        </w:rPr>
        <w:t>)</w:t>
      </w:r>
      <w:r w:rsidR="00444A67">
        <w:rPr>
          <w:rFonts w:ascii="Tahoma" w:hAnsi="Tahoma" w:cs="Tahoma"/>
        </w:rPr>
        <w:t>.</w:t>
      </w:r>
    </w:p>
    <w:p w14:paraId="1902423D" w14:textId="77777777" w:rsidR="002C1C8E" w:rsidRPr="003D622F" w:rsidRDefault="002C1C8E" w:rsidP="002346D6">
      <w:pPr>
        <w:spacing w:line="276" w:lineRule="auto"/>
        <w:rPr>
          <w:rFonts w:ascii="Tahoma" w:hAnsi="Tahoma" w:cs="Tahoma"/>
        </w:rPr>
      </w:pPr>
    </w:p>
    <w:p w14:paraId="1A667FCD" w14:textId="5FC502FA" w:rsidR="00385F15" w:rsidRPr="003D622F" w:rsidRDefault="00F5558D" w:rsidP="002346D6">
      <w:p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lastRenderedPageBreak/>
        <w:t>If a local area fails to meet levels of performance for the primary indicators in any program year, technical assistance will be provided by OWI. This assistance may include development of a performance improvement plan, development of a modified local plan, or other actions designed to assist the local area in improving performance.</w:t>
      </w:r>
      <w:r w:rsidR="00526C1E">
        <w:rPr>
          <w:rFonts w:ascii="Tahoma" w:hAnsi="Tahoma" w:cs="Tahoma"/>
        </w:rPr>
        <w:t xml:space="preserve"> </w:t>
      </w:r>
    </w:p>
    <w:p w14:paraId="3466FBAF" w14:textId="77777777" w:rsidR="00385F15" w:rsidRPr="003D622F" w:rsidRDefault="00385F15" w:rsidP="002346D6">
      <w:pPr>
        <w:spacing w:line="276" w:lineRule="auto"/>
        <w:rPr>
          <w:rFonts w:ascii="Tahoma" w:hAnsi="Tahoma" w:cs="Tahoma"/>
        </w:rPr>
      </w:pPr>
    </w:p>
    <w:p w14:paraId="0B785065" w14:textId="27C18843" w:rsidR="002C1C8E" w:rsidRPr="003D622F" w:rsidRDefault="002C1C8E" w:rsidP="002346D6">
      <w:p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 xml:space="preserve">If the same performance failure(s) occur in </w:t>
      </w:r>
      <w:r w:rsidRPr="003D622F">
        <w:rPr>
          <w:rFonts w:ascii="Tahoma" w:hAnsi="Tahoma" w:cs="Tahoma"/>
          <w:b/>
          <w:bCs/>
        </w:rPr>
        <w:t xml:space="preserve">two consecutive program years for </w:t>
      </w:r>
      <w:r w:rsidRPr="003D622F">
        <w:rPr>
          <w:rFonts w:ascii="Tahoma" w:hAnsi="Tahoma" w:cs="Tahoma"/>
        </w:rPr>
        <w:t xml:space="preserve">a local area, </w:t>
      </w:r>
      <w:r w:rsidR="00F767B9">
        <w:rPr>
          <w:rFonts w:ascii="Tahoma" w:hAnsi="Tahoma" w:cs="Tahoma"/>
        </w:rPr>
        <w:t>OWI</w:t>
      </w:r>
      <w:r w:rsidRPr="003D622F">
        <w:rPr>
          <w:rFonts w:ascii="Tahoma" w:hAnsi="Tahoma" w:cs="Tahoma"/>
        </w:rPr>
        <w:t xml:space="preserve"> may, in consultation with the </w:t>
      </w:r>
      <w:r w:rsidR="00B271EB">
        <w:rPr>
          <w:rFonts w:ascii="Tahoma" w:hAnsi="Tahoma" w:cs="Tahoma"/>
        </w:rPr>
        <w:t>g</w:t>
      </w:r>
      <w:r w:rsidRPr="003D622F">
        <w:rPr>
          <w:rFonts w:ascii="Tahoma" w:hAnsi="Tahoma" w:cs="Tahoma"/>
        </w:rPr>
        <w:t>overnor, apply financial sanctions.</w:t>
      </w:r>
    </w:p>
    <w:p w14:paraId="324F741B" w14:textId="2D25FB7D" w:rsidR="00F5558D" w:rsidRPr="003D622F" w:rsidRDefault="00F5558D" w:rsidP="002346D6">
      <w:pPr>
        <w:spacing w:line="276" w:lineRule="auto"/>
        <w:rPr>
          <w:rFonts w:ascii="Tahoma" w:hAnsi="Tahoma" w:cs="Tahoma"/>
        </w:rPr>
      </w:pPr>
    </w:p>
    <w:p w14:paraId="6280611B" w14:textId="5FC4C30A" w:rsidR="00F5558D" w:rsidRPr="003D622F" w:rsidRDefault="00F5558D" w:rsidP="002346D6">
      <w:p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 xml:space="preserve">In the event a local area fails to meet the level of performance for the same primary indicator of performance for the same core program authorized under WIOA </w:t>
      </w:r>
      <w:r w:rsidR="00A36CEC">
        <w:rPr>
          <w:rFonts w:ascii="Tahoma" w:hAnsi="Tahoma" w:cs="Tahoma"/>
        </w:rPr>
        <w:t>Title</w:t>
      </w:r>
      <w:r w:rsidRPr="003D622F">
        <w:rPr>
          <w:rFonts w:ascii="Tahoma" w:hAnsi="Tahoma" w:cs="Tahoma"/>
        </w:rPr>
        <w:t xml:space="preserve"> I for a </w:t>
      </w:r>
      <w:r w:rsidRPr="003D622F">
        <w:rPr>
          <w:rFonts w:ascii="Tahoma" w:hAnsi="Tahoma" w:cs="Tahoma"/>
          <w:b/>
        </w:rPr>
        <w:t>third consecutive year</w:t>
      </w:r>
      <w:r w:rsidRPr="003D622F">
        <w:rPr>
          <w:rFonts w:ascii="Tahoma" w:hAnsi="Tahoma" w:cs="Tahoma"/>
        </w:rPr>
        <w:t>, OWI will take corrective action.</w:t>
      </w:r>
      <w:r w:rsidR="00526C1E">
        <w:rPr>
          <w:rFonts w:ascii="Tahoma" w:hAnsi="Tahoma" w:cs="Tahoma"/>
        </w:rPr>
        <w:t xml:space="preserve"> </w:t>
      </w:r>
    </w:p>
    <w:p w14:paraId="749103BE" w14:textId="77777777" w:rsidR="00F5558D" w:rsidRPr="003D622F" w:rsidRDefault="00F5558D" w:rsidP="002346D6">
      <w:pPr>
        <w:spacing w:line="276" w:lineRule="auto"/>
        <w:rPr>
          <w:rFonts w:ascii="Tahoma" w:hAnsi="Tahoma" w:cs="Tahoma"/>
        </w:rPr>
      </w:pPr>
    </w:p>
    <w:p w14:paraId="252DAF6C" w14:textId="781979E3" w:rsidR="00F5558D" w:rsidRPr="003D622F" w:rsidRDefault="00F5558D" w:rsidP="002346D6">
      <w:p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>This corrective action will include development of a reorganization plan, which may require appointment and certification of a new local workforce development board</w:t>
      </w:r>
      <w:r w:rsidR="00DE239B" w:rsidRPr="003D622F">
        <w:rPr>
          <w:rFonts w:ascii="Tahoma" w:hAnsi="Tahoma" w:cs="Tahoma"/>
        </w:rPr>
        <w:t xml:space="preserve">, prohibition of the use of eligible providers and one-stop partners that have been identified as achieving poor levels of performance, or other such significant actions deemed appropriate. </w:t>
      </w:r>
    </w:p>
    <w:p w14:paraId="0465EAD6" w14:textId="54EEC079" w:rsidR="002273BB" w:rsidRPr="003D622F" w:rsidRDefault="002273BB" w:rsidP="002346D6">
      <w:pPr>
        <w:spacing w:line="276" w:lineRule="auto"/>
        <w:rPr>
          <w:rFonts w:ascii="Tahoma" w:hAnsi="Tahoma" w:cs="Tahoma"/>
        </w:rPr>
      </w:pPr>
    </w:p>
    <w:p w14:paraId="6CBF0412" w14:textId="0E215063" w:rsidR="002273BB" w:rsidRDefault="002273BB" w:rsidP="002346D6">
      <w:pPr>
        <w:spacing w:line="276" w:lineRule="auto"/>
        <w:rPr>
          <w:rFonts w:ascii="Tahoma" w:hAnsi="Tahoma" w:cs="Tahoma"/>
        </w:rPr>
      </w:pPr>
      <w:r w:rsidRPr="003D622F">
        <w:rPr>
          <w:rFonts w:ascii="Tahoma" w:hAnsi="Tahoma" w:cs="Tahoma"/>
        </w:rPr>
        <w:t>The local workforce development board and the chief elected official for a local area that is subject to a reorganization plan may appeal to OWI to rescind or revise the reorganization plan not later than 30 days after receiving notice of the reorganization plan.</w:t>
      </w:r>
      <w:r w:rsidR="00526C1E">
        <w:rPr>
          <w:rFonts w:ascii="Tahoma" w:hAnsi="Tahoma" w:cs="Tahoma"/>
        </w:rPr>
        <w:t xml:space="preserve"> </w:t>
      </w:r>
      <w:r w:rsidRPr="003D622F">
        <w:rPr>
          <w:rFonts w:ascii="Tahoma" w:hAnsi="Tahoma" w:cs="Tahoma"/>
        </w:rPr>
        <w:t xml:space="preserve">OWI must make a final decision within 30 days after receipt of the appeal. </w:t>
      </w:r>
    </w:p>
    <w:p w14:paraId="2F15A488" w14:textId="6C55C294" w:rsidR="00955BC6" w:rsidRDefault="00955BC6" w:rsidP="002346D6">
      <w:pPr>
        <w:spacing w:line="276" w:lineRule="auto"/>
        <w:rPr>
          <w:rFonts w:ascii="Tahoma" w:hAnsi="Tahoma" w:cs="Tahoma"/>
        </w:rPr>
      </w:pPr>
    </w:p>
    <w:p w14:paraId="1E4072AB" w14:textId="2F34F1DB" w:rsidR="00955BC6" w:rsidRPr="00955BC6" w:rsidRDefault="00955BC6" w:rsidP="002346D6">
      <w:pPr>
        <w:spacing w:line="276" w:lineRule="auto"/>
        <w:rPr>
          <w:rFonts w:ascii="Tahoma" w:hAnsi="Tahoma" w:cs="Tahoma"/>
          <w:bCs/>
          <w:u w:val="single"/>
        </w:rPr>
      </w:pPr>
      <w:bookmarkStart w:id="1" w:name="Determining"/>
      <w:r w:rsidRPr="007B072C">
        <w:rPr>
          <w:rFonts w:ascii="Tahoma" w:hAnsi="Tahoma" w:cs="Tahoma"/>
          <w:bCs/>
          <w:u w:val="single"/>
        </w:rPr>
        <w:t>Determining performance/nonperformance (thresholds for failure):</w:t>
      </w:r>
      <w:bookmarkEnd w:id="1"/>
    </w:p>
    <w:p w14:paraId="4E9EE683" w14:textId="77777777" w:rsidR="00A36CEC" w:rsidRDefault="00A36CEC" w:rsidP="00A36CEC">
      <w:pPr>
        <w:spacing w:line="276" w:lineRule="auto"/>
        <w:rPr>
          <w:rFonts w:ascii="Tahoma" w:hAnsi="Tahoma" w:cs="Tahoma"/>
        </w:rPr>
      </w:pPr>
    </w:p>
    <w:p w14:paraId="7480CDDC" w14:textId="5C14AA17" w:rsidR="00A36CEC" w:rsidRDefault="00A36CEC" w:rsidP="00A36CEC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To determine a local workforce development board’s performance/nonperformance, OWI will review performance outcomes for each local workforce development area’s WIOA Title I programs after all state and local performance data has been transmitted to the US Department of Labor (DOL) and certified. Certification</w:t>
      </w:r>
      <w:r w:rsidR="00444A67">
        <w:rPr>
          <w:rFonts w:ascii="Tahoma" w:hAnsi="Tahoma" w:cs="Tahoma"/>
        </w:rPr>
        <w:t xml:space="preserve"> of</w:t>
      </w:r>
      <w:r>
        <w:rPr>
          <w:rFonts w:ascii="Tahoma" w:hAnsi="Tahoma" w:cs="Tahoma"/>
        </w:rPr>
        <w:t xml:space="preserve"> report data usually occurs by October 1.</w:t>
      </w:r>
    </w:p>
    <w:p w14:paraId="0A7365A4" w14:textId="77777777" w:rsidR="00955BC6" w:rsidRDefault="00955BC6" w:rsidP="00955BC6">
      <w:pPr>
        <w:spacing w:line="276" w:lineRule="auto"/>
        <w:rPr>
          <w:rFonts w:ascii="Tahoma" w:hAnsi="Tahoma" w:cs="Tahoma"/>
          <w:b/>
          <w:bCs/>
          <w:i/>
        </w:rPr>
      </w:pPr>
    </w:p>
    <w:p w14:paraId="2B64388F" w14:textId="44ABB60A" w:rsidR="00955BC6" w:rsidRPr="00955BC6" w:rsidRDefault="00955BC6" w:rsidP="00955BC6">
      <w:pPr>
        <w:spacing w:line="276" w:lineRule="auto"/>
        <w:rPr>
          <w:rFonts w:ascii="Tahoma" w:hAnsi="Tahoma" w:cs="Tahoma"/>
          <w:b/>
          <w:bCs/>
          <w:i/>
        </w:rPr>
      </w:pPr>
      <w:r w:rsidRPr="00955BC6">
        <w:rPr>
          <w:rFonts w:ascii="Tahoma" w:hAnsi="Tahoma" w:cs="Tahoma"/>
          <w:b/>
          <w:bCs/>
          <w:i/>
        </w:rPr>
        <w:t>Calculating if any single Individual Indicator Score for any single core program falls below 50 percent of the negotiated level of performance.</w:t>
      </w:r>
    </w:p>
    <w:p w14:paraId="13237AB2" w14:textId="63D8D7F4" w:rsidR="00A36CEC" w:rsidRDefault="00A36CEC" w:rsidP="00955BC6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6000AA4B" w14:textId="351C20CF" w:rsidR="00955BC6" w:rsidRPr="00955BC6" w:rsidRDefault="00955BC6" w:rsidP="00955BC6">
      <w:pPr>
        <w:spacing w:line="276" w:lineRule="auto"/>
        <w:rPr>
          <w:rFonts w:ascii="Tahoma" w:hAnsi="Tahoma" w:cs="Tahoma"/>
        </w:rPr>
      </w:pPr>
      <w:r w:rsidRPr="00955BC6">
        <w:rPr>
          <w:rFonts w:ascii="Tahoma" w:hAnsi="Tahoma" w:cs="Tahoma"/>
        </w:rPr>
        <w:t xml:space="preserve">Calculate the </w:t>
      </w:r>
      <w:r w:rsidR="00F5596B">
        <w:rPr>
          <w:rFonts w:ascii="Tahoma" w:hAnsi="Tahoma" w:cs="Tahoma"/>
        </w:rPr>
        <w:t xml:space="preserve">Individual Indicator Performance Score </w:t>
      </w:r>
      <w:r w:rsidRPr="00955BC6">
        <w:rPr>
          <w:rFonts w:ascii="Tahoma" w:hAnsi="Tahoma" w:cs="Tahoma"/>
        </w:rPr>
        <w:t xml:space="preserve">by dividing the actual performance indicator score by the negotiated level of performance (rounded to one decimal place). </w:t>
      </w:r>
    </w:p>
    <w:p w14:paraId="1491DB43" w14:textId="77777777" w:rsidR="00955BC6" w:rsidRPr="00955BC6" w:rsidRDefault="00955BC6" w:rsidP="00955BC6">
      <w:pPr>
        <w:spacing w:line="276" w:lineRule="auto"/>
        <w:rPr>
          <w:rFonts w:ascii="Tahoma" w:hAnsi="Tahoma" w:cs="Tahoma"/>
        </w:rPr>
      </w:pPr>
    </w:p>
    <w:p w14:paraId="3A954EEA" w14:textId="77777777" w:rsidR="00955BC6" w:rsidRPr="00955BC6" w:rsidRDefault="00955BC6" w:rsidP="00955BC6">
      <w:pPr>
        <w:spacing w:line="276" w:lineRule="auto"/>
        <w:rPr>
          <w:rFonts w:ascii="Tahoma" w:hAnsi="Tahoma" w:cs="Tahoma"/>
        </w:rPr>
      </w:pPr>
      <w:r w:rsidRPr="00955BC6">
        <w:rPr>
          <w:rFonts w:ascii="Tahoma" w:hAnsi="Tahoma" w:cs="Tahoma"/>
        </w:rPr>
        <w:t xml:space="preserve">So, Actual Performance/Negotiated Level of Performance = Individual Indicator Performance Score </w:t>
      </w:r>
    </w:p>
    <w:p w14:paraId="0D013BFB" w14:textId="77777777" w:rsidR="00955BC6" w:rsidRPr="00955BC6" w:rsidRDefault="00955BC6" w:rsidP="00955BC6">
      <w:pPr>
        <w:spacing w:line="276" w:lineRule="auto"/>
        <w:rPr>
          <w:rFonts w:ascii="Tahoma" w:hAnsi="Tahoma" w:cs="Tahoma"/>
        </w:rPr>
      </w:pPr>
    </w:p>
    <w:p w14:paraId="0366BEEA" w14:textId="77777777" w:rsidR="00955BC6" w:rsidRPr="00955BC6" w:rsidRDefault="00955BC6" w:rsidP="00955BC6">
      <w:pPr>
        <w:spacing w:line="276" w:lineRule="auto"/>
        <w:rPr>
          <w:rFonts w:ascii="Tahoma" w:hAnsi="Tahoma" w:cs="Tahoma"/>
          <w:u w:val="single"/>
        </w:rPr>
      </w:pPr>
      <w:r w:rsidRPr="00955BC6">
        <w:rPr>
          <w:rFonts w:ascii="Tahoma" w:hAnsi="Tahoma" w:cs="Tahoma"/>
          <w:u w:val="single"/>
        </w:rPr>
        <w:t>Example 1:</w:t>
      </w:r>
    </w:p>
    <w:p w14:paraId="17B6C95D" w14:textId="77777777" w:rsidR="00955BC6" w:rsidRPr="00955BC6" w:rsidRDefault="00955BC6" w:rsidP="00955BC6">
      <w:pPr>
        <w:spacing w:line="276" w:lineRule="auto"/>
        <w:rPr>
          <w:rFonts w:ascii="Tahoma" w:hAnsi="Tahoma" w:cs="Tahoma"/>
        </w:rPr>
      </w:pPr>
      <w:r w:rsidRPr="00955BC6">
        <w:rPr>
          <w:rFonts w:ascii="Tahoma" w:hAnsi="Tahoma" w:cs="Tahoma"/>
        </w:rPr>
        <w:t>72% (Actual) / 74% (Negotiated) = 97.3% [Above the 50% threshold for failure]</w:t>
      </w:r>
    </w:p>
    <w:p w14:paraId="77C24DA9" w14:textId="77777777" w:rsidR="00955BC6" w:rsidRDefault="00955BC6" w:rsidP="00955BC6">
      <w:pPr>
        <w:spacing w:line="276" w:lineRule="auto"/>
        <w:rPr>
          <w:rFonts w:ascii="Tahoma" w:hAnsi="Tahoma" w:cs="Tahoma"/>
          <w:u w:val="single"/>
        </w:rPr>
      </w:pPr>
    </w:p>
    <w:p w14:paraId="5A57AAA8" w14:textId="538D88B4" w:rsidR="00955BC6" w:rsidRPr="00955BC6" w:rsidRDefault="00955BC6" w:rsidP="00955BC6">
      <w:pPr>
        <w:spacing w:line="276" w:lineRule="auto"/>
        <w:rPr>
          <w:rFonts w:ascii="Tahoma" w:hAnsi="Tahoma" w:cs="Tahoma"/>
          <w:u w:val="single"/>
        </w:rPr>
      </w:pPr>
      <w:r w:rsidRPr="00955BC6">
        <w:rPr>
          <w:rFonts w:ascii="Tahoma" w:hAnsi="Tahoma" w:cs="Tahoma"/>
          <w:u w:val="single"/>
        </w:rPr>
        <w:t>Example 2:</w:t>
      </w:r>
    </w:p>
    <w:p w14:paraId="703ADFDF" w14:textId="77777777" w:rsidR="00955BC6" w:rsidRPr="00955BC6" w:rsidRDefault="00955BC6" w:rsidP="00955BC6">
      <w:pPr>
        <w:spacing w:line="276" w:lineRule="auto"/>
        <w:rPr>
          <w:rFonts w:ascii="Tahoma" w:hAnsi="Tahoma" w:cs="Tahoma"/>
        </w:rPr>
      </w:pPr>
      <w:r w:rsidRPr="00955BC6">
        <w:rPr>
          <w:rFonts w:ascii="Tahoma" w:hAnsi="Tahoma" w:cs="Tahoma"/>
        </w:rPr>
        <w:t>45% (Actual) / 91% (Negotiated) = 49.5% [Below the 50% threshold for failure}</w:t>
      </w:r>
    </w:p>
    <w:p w14:paraId="73A77C8E" w14:textId="58EFD034" w:rsidR="0000272F" w:rsidRPr="00C8718B" w:rsidRDefault="007B072C" w:rsidP="00BE6128">
      <w:pPr>
        <w:keepNext/>
        <w:spacing w:after="60" w:line="276" w:lineRule="auto"/>
        <w:rPr>
          <w:rFonts w:ascii="Tahoma" w:hAnsi="Tahoma" w:cs="Tahoma"/>
          <w:b/>
          <w:color w:val="757D5A"/>
          <w:sz w:val="24"/>
          <w:szCs w:val="24"/>
        </w:rPr>
      </w:pPr>
      <w:r>
        <w:rPr>
          <w:rFonts w:ascii="Tahoma" w:hAnsi="Tahoma" w:cs="Tahoma"/>
          <w:b/>
          <w:color w:val="757D5A"/>
          <w:sz w:val="24"/>
          <w:szCs w:val="24"/>
        </w:rPr>
        <w:br/>
      </w:r>
      <w:r w:rsidR="0000272F" w:rsidRPr="00C8718B">
        <w:rPr>
          <w:rFonts w:ascii="Tahoma" w:hAnsi="Tahoma" w:cs="Tahoma"/>
          <w:b/>
          <w:color w:val="757D5A"/>
          <w:sz w:val="24"/>
          <w:szCs w:val="24"/>
        </w:rPr>
        <w:t>Contact</w:t>
      </w:r>
    </w:p>
    <w:p w14:paraId="06381DEE" w14:textId="48CEEE88" w:rsidR="0000272F" w:rsidRDefault="00063932" w:rsidP="0000272F">
      <w:pPr>
        <w:spacing w:line="276" w:lineRule="auto"/>
        <w:rPr>
          <w:rFonts w:ascii="Tahoma" w:hAnsi="Tahoma" w:cs="Tahoma"/>
        </w:rPr>
      </w:pPr>
      <w:bookmarkStart w:id="2" w:name="_Hlk62808880"/>
      <w:r w:rsidRPr="00C935F6">
        <w:rPr>
          <w:rFonts w:ascii="Tahoma" w:hAnsi="Tahoma" w:cs="Tahoma"/>
        </w:rPr>
        <w:t xml:space="preserve">Questions are to be referred to </w:t>
      </w:r>
      <w:hyperlink r:id="rId10" w:history="1">
        <w:r w:rsidRPr="00B12C36">
          <w:rPr>
            <w:rStyle w:val="Hyperlink"/>
            <w:rFonts w:ascii="Tahoma" w:hAnsi="Tahoma" w:cs="Tahoma"/>
          </w:rPr>
          <w:t>hecc.owi-workforce-policy@hecc.oregon.gov</w:t>
        </w:r>
      </w:hyperlink>
      <w:r>
        <w:rPr>
          <w:rFonts w:ascii="Tahoma" w:hAnsi="Tahoma" w:cs="Tahoma"/>
        </w:rPr>
        <w:t xml:space="preserve">. </w:t>
      </w:r>
      <w:bookmarkEnd w:id="2"/>
    </w:p>
    <w:p w14:paraId="1E9544F7" w14:textId="77777777" w:rsidR="00A34EE0" w:rsidRPr="00C8718B" w:rsidRDefault="00A34EE0" w:rsidP="0000272F">
      <w:pPr>
        <w:spacing w:line="276" w:lineRule="auto"/>
        <w:rPr>
          <w:rFonts w:ascii="Tahoma" w:hAnsi="Tahoma" w:cs="Tahoma"/>
        </w:rPr>
      </w:pPr>
    </w:p>
    <w:p w14:paraId="5E751310" w14:textId="512B0A6B" w:rsidR="00BE6128" w:rsidRPr="00BE6128" w:rsidRDefault="00BE6128" w:rsidP="00BE6128">
      <w:pPr>
        <w:keepNext/>
        <w:spacing w:after="60" w:line="276" w:lineRule="auto"/>
        <w:rPr>
          <w:rFonts w:ascii="Tahoma" w:hAnsi="Tahoma" w:cs="Tahoma"/>
          <w:b/>
          <w:color w:val="757D5A"/>
          <w:sz w:val="24"/>
          <w:szCs w:val="24"/>
        </w:rPr>
      </w:pPr>
      <w:r w:rsidRPr="00BE6128">
        <w:rPr>
          <w:rFonts w:ascii="Tahoma" w:hAnsi="Tahoma" w:cs="Tahoma"/>
          <w:b/>
          <w:color w:val="757D5A"/>
          <w:sz w:val="24"/>
          <w:szCs w:val="24"/>
        </w:rPr>
        <w:t>References</w:t>
      </w:r>
    </w:p>
    <w:p w14:paraId="62C6E493" w14:textId="6EE69B65" w:rsidR="002136A1" w:rsidRPr="002136A1" w:rsidRDefault="002136A1" w:rsidP="002136A1">
      <w:pPr>
        <w:pStyle w:val="ListParagraph"/>
        <w:numPr>
          <w:ilvl w:val="0"/>
          <w:numId w:val="24"/>
        </w:numPr>
        <w:spacing w:line="276" w:lineRule="auto"/>
        <w:contextualSpacing w:val="0"/>
        <w:rPr>
          <w:rFonts w:ascii="Tahoma" w:hAnsi="Tahoma" w:cs="Tahoma"/>
        </w:rPr>
      </w:pPr>
      <w:r w:rsidRPr="002136A1">
        <w:rPr>
          <w:rFonts w:ascii="Tahoma" w:hAnsi="Tahoma" w:cs="Tahoma"/>
        </w:rPr>
        <w:t>WIOA Section 1</w:t>
      </w:r>
      <w:r w:rsidR="00FA5153">
        <w:rPr>
          <w:rFonts w:ascii="Tahoma" w:hAnsi="Tahoma" w:cs="Tahoma"/>
        </w:rPr>
        <w:t>16</w:t>
      </w:r>
    </w:p>
    <w:p w14:paraId="21A0279C" w14:textId="1E39E476" w:rsidR="0000272F" w:rsidRDefault="002136A1" w:rsidP="0000272F">
      <w:pPr>
        <w:pStyle w:val="ListParagraph"/>
        <w:numPr>
          <w:ilvl w:val="0"/>
          <w:numId w:val="24"/>
        </w:numPr>
        <w:spacing w:line="276" w:lineRule="auto"/>
        <w:contextualSpacing w:val="0"/>
        <w:rPr>
          <w:rFonts w:ascii="Tahoma" w:hAnsi="Tahoma" w:cs="Tahoma"/>
        </w:rPr>
      </w:pPr>
      <w:r w:rsidRPr="002136A1">
        <w:rPr>
          <w:rFonts w:ascii="Tahoma" w:hAnsi="Tahoma" w:cs="Tahoma"/>
        </w:rPr>
        <w:t>20 CFR 6</w:t>
      </w:r>
      <w:r w:rsidR="00FA5153">
        <w:rPr>
          <w:rFonts w:ascii="Tahoma" w:hAnsi="Tahoma" w:cs="Tahoma"/>
        </w:rPr>
        <w:t xml:space="preserve">77.220 </w:t>
      </w:r>
      <w:r w:rsidR="000934CE">
        <w:rPr>
          <w:rFonts w:ascii="Tahoma" w:hAnsi="Tahoma" w:cs="Tahoma"/>
        </w:rPr>
        <w:t>–</w:t>
      </w:r>
      <w:r w:rsidR="00FA5153">
        <w:rPr>
          <w:rFonts w:ascii="Tahoma" w:hAnsi="Tahoma" w:cs="Tahoma"/>
        </w:rPr>
        <w:t xml:space="preserve"> 225</w:t>
      </w:r>
    </w:p>
    <w:p w14:paraId="5083ADCD" w14:textId="0687D2AC" w:rsidR="000934CE" w:rsidRDefault="000934CE" w:rsidP="0000272F">
      <w:pPr>
        <w:pStyle w:val="ListParagraph"/>
        <w:numPr>
          <w:ilvl w:val="0"/>
          <w:numId w:val="24"/>
        </w:numPr>
        <w:spacing w:line="276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Training and Employment Guidance Letter 11-19</w:t>
      </w:r>
    </w:p>
    <w:p w14:paraId="23A9C802" w14:textId="2A9C5903" w:rsidR="00E00DFB" w:rsidRPr="002136A1" w:rsidRDefault="00E00DFB" w:rsidP="0000272F">
      <w:pPr>
        <w:pStyle w:val="ListParagraph"/>
        <w:numPr>
          <w:ilvl w:val="0"/>
          <w:numId w:val="24"/>
        </w:numPr>
        <w:spacing w:line="276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Training and Employment Notice 14-21</w:t>
      </w:r>
    </w:p>
    <w:sectPr w:rsidR="00E00DFB" w:rsidRPr="002136A1" w:rsidSect="002136A1">
      <w:headerReference w:type="default" r:id="rId11"/>
      <w:footerReference w:type="default" r:id="rId12"/>
      <w:headerReference w:type="first" r:id="rId13"/>
      <w:pgSz w:w="12240" w:h="15840" w:code="1"/>
      <w:pgMar w:top="1440" w:right="720" w:bottom="432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0506E" w14:textId="77777777" w:rsidR="007B5F9A" w:rsidRDefault="007B5F9A" w:rsidP="00817449">
      <w:r>
        <w:separator/>
      </w:r>
    </w:p>
  </w:endnote>
  <w:endnote w:type="continuationSeparator" w:id="0">
    <w:p w14:paraId="7E9BF089" w14:textId="77777777" w:rsidR="007B5F9A" w:rsidRDefault="007B5F9A" w:rsidP="0081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47D0" w14:textId="76482289" w:rsidR="0000272F" w:rsidRPr="0000272F" w:rsidRDefault="00F31A3E" w:rsidP="001E5FBB">
    <w:pPr>
      <w:pStyle w:val="Footer"/>
      <w:tabs>
        <w:tab w:val="right" w:pos="10710"/>
      </w:tabs>
      <w:rPr>
        <w:sz w:val="18"/>
        <w:szCs w:val="18"/>
      </w:rPr>
    </w:pPr>
    <w:r>
      <w:rPr>
        <w:sz w:val="18"/>
        <w:szCs w:val="18"/>
      </w:rPr>
      <w:t>Performance Sanctions Policy</w:t>
    </w:r>
    <w:r w:rsidR="001E5FBB">
      <w:rPr>
        <w:sz w:val="18"/>
        <w:szCs w:val="18"/>
      </w:rPr>
      <w:tab/>
    </w:r>
    <w:r w:rsidR="0000272F" w:rsidRPr="0000272F">
      <w:rPr>
        <w:sz w:val="18"/>
        <w:szCs w:val="18"/>
      </w:rPr>
      <w:fldChar w:fldCharType="begin"/>
    </w:r>
    <w:r w:rsidR="0000272F" w:rsidRPr="0000272F">
      <w:rPr>
        <w:sz w:val="18"/>
        <w:szCs w:val="18"/>
      </w:rPr>
      <w:instrText xml:space="preserve"> PAGE   \* MERGEFORMAT </w:instrText>
    </w:r>
    <w:r w:rsidR="0000272F" w:rsidRPr="0000272F">
      <w:rPr>
        <w:sz w:val="18"/>
        <w:szCs w:val="18"/>
      </w:rPr>
      <w:fldChar w:fldCharType="separate"/>
    </w:r>
    <w:r w:rsidR="0000272F" w:rsidRPr="0000272F">
      <w:rPr>
        <w:noProof/>
        <w:sz w:val="18"/>
        <w:szCs w:val="18"/>
      </w:rPr>
      <w:t>1</w:t>
    </w:r>
    <w:r w:rsidR="0000272F" w:rsidRPr="000027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C571B" w14:textId="77777777" w:rsidR="007B5F9A" w:rsidRDefault="007B5F9A" w:rsidP="00817449">
      <w:r>
        <w:separator/>
      </w:r>
    </w:p>
  </w:footnote>
  <w:footnote w:type="continuationSeparator" w:id="0">
    <w:p w14:paraId="4118BF1E" w14:textId="77777777" w:rsidR="007B5F9A" w:rsidRDefault="007B5F9A" w:rsidP="0081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0754" w14:textId="29A04F8D" w:rsidR="00817449" w:rsidRDefault="00817449" w:rsidP="00817449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State of Oregon Workforce Programs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16" w:type="dxa"/>
      <w:jc w:val="right"/>
      <w:tblBorders>
        <w:top w:val="single" w:sz="12" w:space="0" w:color="757D5A"/>
        <w:left w:val="single" w:sz="12" w:space="0" w:color="757D5A"/>
        <w:bottom w:val="single" w:sz="12" w:space="0" w:color="757D5A"/>
        <w:right w:val="single" w:sz="12" w:space="0" w:color="757D5A"/>
        <w:insideH w:val="single" w:sz="12" w:space="0" w:color="757D5A"/>
        <w:insideV w:val="single" w:sz="12" w:space="0" w:color="757D5A"/>
      </w:tblBorders>
      <w:tblLook w:val="04A0" w:firstRow="1" w:lastRow="0" w:firstColumn="1" w:lastColumn="0" w:noHBand="0" w:noVBand="1"/>
    </w:tblPr>
    <w:tblGrid>
      <w:gridCol w:w="4665"/>
      <w:gridCol w:w="4551"/>
    </w:tblGrid>
    <w:tr w:rsidR="00063932" w:rsidRPr="00C8718B" w14:paraId="508E0D3A" w14:textId="77777777" w:rsidTr="004158EB">
      <w:trPr>
        <w:jc w:val="right"/>
      </w:trPr>
      <w:tc>
        <w:tcPr>
          <w:tcW w:w="9216" w:type="dxa"/>
          <w:gridSpan w:val="2"/>
        </w:tcPr>
        <w:p w14:paraId="6C172AFC" w14:textId="02F8AE11" w:rsidR="00063932" w:rsidRDefault="00063932" w:rsidP="00063932">
          <w:pPr>
            <w:pStyle w:val="Header"/>
            <w:jc w:val="center"/>
            <w:rPr>
              <w:rFonts w:ascii="Tahoma" w:hAnsi="Tahoma" w:cs="Tahoma"/>
              <w:sz w:val="26"/>
              <w:szCs w:val="26"/>
            </w:rPr>
          </w:pPr>
          <w:bookmarkStart w:id="3" w:name="_Hlk62808763"/>
          <w:r>
            <w:rPr>
              <w:rFonts w:ascii="Tahoma" w:hAnsi="Tahoma" w:cs="Tahoma"/>
              <w:sz w:val="26"/>
              <w:szCs w:val="26"/>
            </w:rPr>
            <w:t>Higher Education Coordinating Commission</w:t>
          </w:r>
        </w:p>
        <w:p w14:paraId="4FD8F078" w14:textId="61ED6676" w:rsidR="00063932" w:rsidRPr="00C8718B" w:rsidRDefault="00063932" w:rsidP="00063932">
          <w:pPr>
            <w:pStyle w:val="Header"/>
            <w:jc w:val="center"/>
            <w:rPr>
              <w:rFonts w:ascii="Tahoma" w:hAnsi="Tahoma" w:cs="Tahoma"/>
              <w:sz w:val="26"/>
              <w:szCs w:val="26"/>
            </w:rPr>
          </w:pPr>
          <w:r>
            <w:rPr>
              <w:rFonts w:ascii="Tahoma" w:hAnsi="Tahoma" w:cs="Tahoma"/>
              <w:sz w:val="26"/>
              <w:szCs w:val="26"/>
            </w:rPr>
            <w:t>Office of Workforce Investment</w:t>
          </w:r>
          <w:r w:rsidR="00850E6F">
            <w:rPr>
              <w:rFonts w:ascii="Tahoma" w:hAnsi="Tahoma" w:cs="Tahoma"/>
              <w:sz w:val="26"/>
              <w:szCs w:val="26"/>
            </w:rPr>
            <w:t>s</w:t>
          </w:r>
          <w:r>
            <w:rPr>
              <w:rFonts w:ascii="Tahoma" w:hAnsi="Tahoma" w:cs="Tahoma"/>
              <w:sz w:val="26"/>
              <w:szCs w:val="26"/>
            </w:rPr>
            <w:t xml:space="preserve"> </w:t>
          </w:r>
          <w:r w:rsidRPr="00C8718B">
            <w:rPr>
              <w:rFonts w:ascii="Tahoma" w:hAnsi="Tahoma" w:cs="Tahoma"/>
              <w:sz w:val="26"/>
              <w:szCs w:val="26"/>
            </w:rPr>
            <w:t>Policy</w:t>
          </w:r>
        </w:p>
      </w:tc>
    </w:tr>
    <w:tr w:rsidR="00063932" w:rsidRPr="00C8718B" w14:paraId="74C5C8A7" w14:textId="77777777" w:rsidTr="004158EB">
      <w:trPr>
        <w:trHeight w:val="364"/>
        <w:jc w:val="right"/>
      </w:trPr>
      <w:tc>
        <w:tcPr>
          <w:tcW w:w="9216" w:type="dxa"/>
          <w:gridSpan w:val="2"/>
          <w:vAlign w:val="center"/>
        </w:tcPr>
        <w:p w14:paraId="749E378B" w14:textId="00DF0F5A" w:rsidR="00063932" w:rsidRPr="00C8718B" w:rsidRDefault="00063932" w:rsidP="00063932">
          <w:pPr>
            <w:pStyle w:val="Header"/>
            <w:rPr>
              <w:rFonts w:ascii="Tahoma" w:hAnsi="Tahoma" w:cs="Tahoma"/>
              <w:sz w:val="24"/>
              <w:szCs w:val="24"/>
            </w:rPr>
          </w:pPr>
          <w:r w:rsidRPr="00C8718B">
            <w:rPr>
              <w:rFonts w:ascii="Tahoma" w:hAnsi="Tahoma" w:cs="Tahoma"/>
              <w:sz w:val="24"/>
              <w:szCs w:val="24"/>
            </w:rPr>
            <w:t xml:space="preserve">Subject: </w:t>
          </w:r>
          <w:r w:rsidR="005B52F1">
            <w:rPr>
              <w:rFonts w:ascii="Tahoma" w:hAnsi="Tahoma" w:cs="Tahoma"/>
              <w:sz w:val="24"/>
              <w:szCs w:val="24"/>
            </w:rPr>
            <w:t>Performance Sanctions Policy</w:t>
          </w:r>
        </w:p>
      </w:tc>
    </w:tr>
    <w:tr w:rsidR="00063932" w:rsidRPr="00C8718B" w14:paraId="751AF8CB" w14:textId="77777777" w:rsidTr="004158EB">
      <w:trPr>
        <w:trHeight w:val="364"/>
        <w:jc w:val="right"/>
      </w:trPr>
      <w:tc>
        <w:tcPr>
          <w:tcW w:w="9216" w:type="dxa"/>
          <w:gridSpan w:val="2"/>
          <w:vAlign w:val="center"/>
        </w:tcPr>
        <w:p w14:paraId="62AFA3EE" w14:textId="61EB5384" w:rsidR="00063932" w:rsidRDefault="00063932" w:rsidP="00063932">
          <w:pPr>
            <w:pStyle w:val="Head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Focus:</w:t>
          </w:r>
          <w:r>
            <w:rPr>
              <w:rFonts w:ascii="Tahoma" w:hAnsi="Tahoma" w:cs="Tahoma"/>
              <w:sz w:val="24"/>
              <w:szCs w:val="24"/>
            </w:rPr>
            <w:tab/>
          </w:r>
          <w:r>
            <w:rPr>
              <w:rFonts w:ascii="Tahoma" w:hAnsi="Tahoma" w:cs="Tahoma"/>
              <w:sz w:val="24"/>
              <w:szCs w:val="24"/>
            </w:rPr>
            <w:tab/>
          </w:r>
          <w:r w:rsidR="00526C1E">
            <w:rPr>
              <w:rFonts w:ascii="Tahoma" w:hAnsi="Tahoma" w:cs="Tahoma"/>
              <w:sz w:val="24"/>
              <w:szCs w:val="24"/>
            </w:rPr>
            <w:t xml:space="preserve"> </w:t>
          </w:r>
          <w:r>
            <w:rPr>
              <w:rFonts w:ascii="Tahoma" w:hAnsi="Tahoma" w:cs="Tahoma"/>
              <w:sz w:val="24"/>
              <w:szCs w:val="24"/>
            </w:rPr>
            <w:sym w:font="Wingdings" w:char="F0FD"/>
          </w:r>
          <w:r>
            <w:rPr>
              <w:rFonts w:ascii="Tahoma" w:hAnsi="Tahoma" w:cs="Tahoma"/>
              <w:sz w:val="24"/>
              <w:szCs w:val="24"/>
            </w:rPr>
            <w:t xml:space="preserve"> WIOA Title I</w:t>
          </w:r>
          <w:r w:rsidR="00526C1E">
            <w:rPr>
              <w:rFonts w:ascii="Tahoma" w:hAnsi="Tahoma" w:cs="Tahoma"/>
              <w:sz w:val="24"/>
              <w:szCs w:val="24"/>
            </w:rPr>
            <w:t xml:space="preserve"> </w:t>
          </w:r>
          <w:r w:rsidR="00506A37">
            <w:rPr>
              <w:rFonts w:ascii="Tahoma" w:hAnsi="Tahoma" w:cs="Tahoma"/>
              <w:sz w:val="24"/>
              <w:szCs w:val="24"/>
            </w:rPr>
            <w:sym w:font="Wingdings" w:char="F072"/>
          </w:r>
          <w:r>
            <w:rPr>
              <w:rFonts w:ascii="Tahoma" w:hAnsi="Tahoma" w:cs="Tahoma"/>
              <w:sz w:val="24"/>
              <w:szCs w:val="24"/>
            </w:rPr>
            <w:t xml:space="preserve"> National DWG</w:t>
          </w:r>
          <w:r w:rsidR="00526C1E">
            <w:rPr>
              <w:rFonts w:ascii="Tahoma" w:hAnsi="Tahoma" w:cs="Tahoma"/>
              <w:sz w:val="24"/>
              <w:szCs w:val="24"/>
            </w:rPr>
            <w:t xml:space="preserve"> </w:t>
          </w:r>
          <w:r>
            <w:rPr>
              <w:rFonts w:ascii="Tahoma" w:hAnsi="Tahoma" w:cs="Tahoma"/>
              <w:sz w:val="24"/>
              <w:szCs w:val="24"/>
            </w:rPr>
            <w:sym w:font="Wingdings" w:char="F072"/>
          </w:r>
          <w:r>
            <w:rPr>
              <w:rFonts w:ascii="Tahoma" w:hAnsi="Tahoma" w:cs="Tahoma"/>
              <w:sz w:val="24"/>
              <w:szCs w:val="24"/>
            </w:rPr>
            <w:t xml:space="preserve"> State Grants</w:t>
          </w:r>
        </w:p>
        <w:p w14:paraId="0730C5A5" w14:textId="70C68CC1" w:rsidR="00063932" w:rsidRPr="00C8718B" w:rsidRDefault="00063932" w:rsidP="00063932">
          <w:pPr>
            <w:pStyle w:val="Head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ab/>
          </w:r>
          <w:r>
            <w:rPr>
              <w:rFonts w:ascii="Tahoma" w:hAnsi="Tahoma" w:cs="Tahoma"/>
              <w:sz w:val="24"/>
              <w:szCs w:val="24"/>
            </w:rPr>
            <w:tab/>
          </w:r>
          <w:r w:rsidR="00526C1E">
            <w:rPr>
              <w:rFonts w:ascii="Tahoma" w:hAnsi="Tahoma" w:cs="Tahoma"/>
              <w:sz w:val="24"/>
              <w:szCs w:val="24"/>
            </w:rPr>
            <w:t xml:space="preserve"> </w:t>
          </w:r>
          <w:r>
            <w:rPr>
              <w:rFonts w:ascii="Tahoma" w:hAnsi="Tahoma" w:cs="Tahoma"/>
              <w:sz w:val="24"/>
              <w:szCs w:val="24"/>
            </w:rPr>
            <w:sym w:font="Wingdings" w:char="F072"/>
          </w:r>
          <w:r>
            <w:rPr>
              <w:rFonts w:ascii="Tahoma" w:hAnsi="Tahoma" w:cs="Tahoma"/>
              <w:sz w:val="24"/>
              <w:szCs w:val="24"/>
            </w:rPr>
            <w:t xml:space="preserve"> Other:</w:t>
          </w:r>
          <w:r w:rsidR="00526C1E">
            <w:rPr>
              <w:rFonts w:ascii="Tahoma" w:hAnsi="Tahoma" w:cs="Tahoma"/>
              <w:sz w:val="24"/>
              <w:szCs w:val="24"/>
            </w:rPr>
            <w:t xml:space="preserve"> </w:t>
          </w:r>
        </w:p>
      </w:tc>
    </w:tr>
    <w:tr w:rsidR="00063932" w:rsidRPr="00C8718B" w14:paraId="75502C5A" w14:textId="77777777" w:rsidTr="004158EB">
      <w:trPr>
        <w:trHeight w:val="355"/>
        <w:jc w:val="right"/>
      </w:trPr>
      <w:tc>
        <w:tcPr>
          <w:tcW w:w="4665" w:type="dxa"/>
          <w:shd w:val="clear" w:color="auto" w:fill="auto"/>
          <w:vAlign w:val="center"/>
        </w:tcPr>
        <w:p w14:paraId="26C78A3F" w14:textId="1C7E7CA4" w:rsidR="00063932" w:rsidRPr="00C8718B" w:rsidRDefault="00063932" w:rsidP="00063932">
          <w:pPr>
            <w:pStyle w:val="Head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Publish </w:t>
          </w:r>
          <w:r w:rsidRPr="00C8718B">
            <w:rPr>
              <w:rFonts w:ascii="Tahoma" w:hAnsi="Tahoma" w:cs="Tahoma"/>
            </w:rPr>
            <w:t>Date:</w:t>
          </w:r>
          <w:r w:rsidR="00526C1E">
            <w:rPr>
              <w:rFonts w:ascii="Tahoma" w:hAnsi="Tahoma" w:cs="Tahoma"/>
            </w:rPr>
            <w:t xml:space="preserve"> </w:t>
          </w:r>
          <w:r w:rsidR="005B52F1">
            <w:rPr>
              <w:rFonts w:ascii="Tahoma" w:hAnsi="Tahoma" w:cs="Tahoma"/>
            </w:rPr>
            <w:t>DRAFT</w:t>
          </w:r>
        </w:p>
      </w:tc>
      <w:tc>
        <w:tcPr>
          <w:tcW w:w="4551" w:type="dxa"/>
          <w:shd w:val="clear" w:color="auto" w:fill="auto"/>
          <w:vAlign w:val="center"/>
        </w:tcPr>
        <w:p w14:paraId="500F4829" w14:textId="4614AEC3" w:rsidR="00063932" w:rsidRPr="00C8718B" w:rsidRDefault="00063932" w:rsidP="00063932">
          <w:pPr>
            <w:pStyle w:val="Header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sym w:font="Wingdings" w:char="F0FD"/>
          </w:r>
          <w:r>
            <w:rPr>
              <w:rFonts w:ascii="Tahoma" w:hAnsi="Tahoma" w:cs="Tahoma"/>
            </w:rPr>
            <w:t xml:space="preserve"> New Policy</w:t>
          </w:r>
          <w:r w:rsidR="00526C1E">
            <w:rPr>
              <w:rFonts w:ascii="Tahoma" w:hAnsi="Tahoma" w:cs="Tahoma"/>
            </w:rPr>
            <w:t xml:space="preserve"> </w:t>
          </w:r>
          <w:r>
            <w:rPr>
              <w:rFonts w:ascii="Tahoma" w:hAnsi="Tahoma" w:cs="Tahoma"/>
            </w:rPr>
            <w:sym w:font="Wingdings" w:char="F071"/>
          </w:r>
          <w:r>
            <w:rPr>
              <w:rFonts w:ascii="Tahoma" w:hAnsi="Tahoma" w:cs="Tahoma"/>
            </w:rPr>
            <w:t xml:space="preserve"> Revised Policy</w:t>
          </w:r>
        </w:p>
      </w:tc>
    </w:tr>
  </w:tbl>
  <w:bookmarkEnd w:id="3"/>
  <w:p w14:paraId="135DFF38" w14:textId="139F4073" w:rsidR="00817449" w:rsidRDefault="0000272F">
    <w:pPr>
      <w:pStyle w:val="Header"/>
    </w:pPr>
    <w:r w:rsidRPr="00F74E7E">
      <w:rPr>
        <w:b/>
        <w:noProof/>
        <w:sz w:val="36"/>
        <w:szCs w:val="36"/>
        <w:u w:val="single"/>
      </w:rPr>
      <w:drawing>
        <wp:anchor distT="0" distB="0" distL="114300" distR="114300" simplePos="0" relativeHeight="251663360" behindDoc="0" locked="0" layoutInCell="1" allowOverlap="1" wp14:anchorId="5F783A7E" wp14:editId="29173500">
          <wp:simplePos x="0" y="0"/>
          <wp:positionH relativeFrom="margin">
            <wp:posOffset>-106680</wp:posOffset>
          </wp:positionH>
          <wp:positionV relativeFrom="margin">
            <wp:posOffset>-1331595</wp:posOffset>
          </wp:positionV>
          <wp:extent cx="932180" cy="93218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449" w:rsidRPr="00F74E7E">
      <w:rPr>
        <w:b/>
        <w:noProof/>
        <w:sz w:val="36"/>
        <w:szCs w:val="36"/>
        <w:u w:val="single"/>
      </w:rPr>
      <w:drawing>
        <wp:anchor distT="0" distB="0" distL="114300" distR="114300" simplePos="0" relativeHeight="251661312" behindDoc="0" locked="0" layoutInCell="1" allowOverlap="1" wp14:anchorId="105AD18B" wp14:editId="37029ABE">
          <wp:simplePos x="0" y="0"/>
          <wp:positionH relativeFrom="margin">
            <wp:posOffset>-45720</wp:posOffset>
          </wp:positionH>
          <wp:positionV relativeFrom="margin">
            <wp:posOffset>72390</wp:posOffset>
          </wp:positionV>
          <wp:extent cx="932688" cy="932688"/>
          <wp:effectExtent l="0" t="0" r="1270" b="1270"/>
          <wp:wrapSquare wrapText="bothSides"/>
          <wp:docPr id="1" name="Picture 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688" cy="932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025695"/>
    <w:multiLevelType w:val="hybridMultilevel"/>
    <w:tmpl w:val="AB16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80CA7"/>
    <w:multiLevelType w:val="hybridMultilevel"/>
    <w:tmpl w:val="36A81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6E422D"/>
    <w:multiLevelType w:val="hybridMultilevel"/>
    <w:tmpl w:val="FD34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A01BA"/>
    <w:multiLevelType w:val="hybridMultilevel"/>
    <w:tmpl w:val="C31E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327945"/>
    <w:multiLevelType w:val="hybridMultilevel"/>
    <w:tmpl w:val="3E6C2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4"/>
  </w:num>
  <w:num w:numId="21">
    <w:abstractNumId w:val="21"/>
  </w:num>
  <w:num w:numId="22">
    <w:abstractNumId w:val="11"/>
  </w:num>
  <w:num w:numId="23">
    <w:abstractNumId w:val="27"/>
  </w:num>
  <w:num w:numId="24">
    <w:abstractNumId w:val="13"/>
  </w:num>
  <w:num w:numId="25">
    <w:abstractNumId w:val="17"/>
  </w:num>
  <w:num w:numId="26">
    <w:abstractNumId w:val="16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49"/>
    <w:rsid w:val="0000272F"/>
    <w:rsid w:val="00063932"/>
    <w:rsid w:val="000934CE"/>
    <w:rsid w:val="000A4A16"/>
    <w:rsid w:val="000F554D"/>
    <w:rsid w:val="001E5FBB"/>
    <w:rsid w:val="002107BB"/>
    <w:rsid w:val="002136A1"/>
    <w:rsid w:val="002273BB"/>
    <w:rsid w:val="002346D6"/>
    <w:rsid w:val="002B04C0"/>
    <w:rsid w:val="002C1C8E"/>
    <w:rsid w:val="00385F15"/>
    <w:rsid w:val="003D3F38"/>
    <w:rsid w:val="003D622F"/>
    <w:rsid w:val="00414FAD"/>
    <w:rsid w:val="00444A67"/>
    <w:rsid w:val="00447DB2"/>
    <w:rsid w:val="0047478F"/>
    <w:rsid w:val="004B5C97"/>
    <w:rsid w:val="004D03DB"/>
    <w:rsid w:val="00506A37"/>
    <w:rsid w:val="00522C0C"/>
    <w:rsid w:val="00526C1E"/>
    <w:rsid w:val="00534669"/>
    <w:rsid w:val="005518EE"/>
    <w:rsid w:val="005555C5"/>
    <w:rsid w:val="005B52F1"/>
    <w:rsid w:val="00645252"/>
    <w:rsid w:val="006B5E65"/>
    <w:rsid w:val="006D3D74"/>
    <w:rsid w:val="00706FBB"/>
    <w:rsid w:val="007604D0"/>
    <w:rsid w:val="007B072C"/>
    <w:rsid w:val="007B3019"/>
    <w:rsid w:val="007B5F9A"/>
    <w:rsid w:val="007D7F52"/>
    <w:rsid w:val="007F5909"/>
    <w:rsid w:val="00817449"/>
    <w:rsid w:val="0083569A"/>
    <w:rsid w:val="00850E6F"/>
    <w:rsid w:val="008960F2"/>
    <w:rsid w:val="00955BC6"/>
    <w:rsid w:val="00962562"/>
    <w:rsid w:val="009A0333"/>
    <w:rsid w:val="009A4D0C"/>
    <w:rsid w:val="009B5AE1"/>
    <w:rsid w:val="00A34EE0"/>
    <w:rsid w:val="00A36CEC"/>
    <w:rsid w:val="00A54E51"/>
    <w:rsid w:val="00A634D8"/>
    <w:rsid w:val="00A82F62"/>
    <w:rsid w:val="00A9204E"/>
    <w:rsid w:val="00B271EB"/>
    <w:rsid w:val="00B51A6F"/>
    <w:rsid w:val="00B92E3D"/>
    <w:rsid w:val="00BE0F02"/>
    <w:rsid w:val="00BE6128"/>
    <w:rsid w:val="00C02B49"/>
    <w:rsid w:val="00C030EC"/>
    <w:rsid w:val="00C60998"/>
    <w:rsid w:val="00C8718B"/>
    <w:rsid w:val="00C95CCE"/>
    <w:rsid w:val="00CA6F4E"/>
    <w:rsid w:val="00CD61CC"/>
    <w:rsid w:val="00CF7750"/>
    <w:rsid w:val="00D14EBD"/>
    <w:rsid w:val="00D50AB5"/>
    <w:rsid w:val="00DA23E2"/>
    <w:rsid w:val="00DE0A6B"/>
    <w:rsid w:val="00DE239B"/>
    <w:rsid w:val="00E00DFB"/>
    <w:rsid w:val="00EB44C4"/>
    <w:rsid w:val="00F16623"/>
    <w:rsid w:val="00F31A3E"/>
    <w:rsid w:val="00F5558D"/>
    <w:rsid w:val="00F5596B"/>
    <w:rsid w:val="00F57DF3"/>
    <w:rsid w:val="00F767B9"/>
    <w:rsid w:val="00FA5153"/>
    <w:rsid w:val="00FC460D"/>
    <w:rsid w:val="00F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64C68"/>
  <w15:chartTrackingRefBased/>
  <w15:docId w15:val="{8C5AB65A-F8F2-44E7-810E-4EB82A37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59"/>
    <w:rsid w:val="0081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817449"/>
    <w:rPr>
      <w:rFonts w:ascii="Arial" w:hAnsi="Arial"/>
      <w:b/>
      <w:sz w:val="22"/>
    </w:rPr>
  </w:style>
  <w:style w:type="character" w:customStyle="1" w:styleId="Style8">
    <w:name w:val="Style8"/>
    <w:basedOn w:val="DefaultParagraphFont"/>
    <w:uiPriority w:val="1"/>
    <w:rsid w:val="00817449"/>
    <w:rPr>
      <w:rFonts w:ascii="Arial" w:hAnsi="Arial"/>
      <w:b/>
      <w:sz w:val="24"/>
    </w:rPr>
  </w:style>
  <w:style w:type="character" w:customStyle="1" w:styleId="Style10">
    <w:name w:val="Style10"/>
    <w:basedOn w:val="DefaultParagraphFont"/>
    <w:uiPriority w:val="1"/>
    <w:rsid w:val="00817449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817449"/>
    <w:rPr>
      <w:rFonts w:ascii="Arial" w:hAnsi="Arial"/>
      <w:b/>
      <w:color w:val="0070C0"/>
      <w:sz w:val="24"/>
    </w:rPr>
  </w:style>
  <w:style w:type="character" w:customStyle="1" w:styleId="Style5">
    <w:name w:val="Style5"/>
    <w:basedOn w:val="DefaultParagraphFont"/>
    <w:uiPriority w:val="1"/>
    <w:rsid w:val="00817449"/>
    <w:rPr>
      <w:rFonts w:ascii="Arial" w:hAnsi="Arial"/>
      <w:b/>
      <w:sz w:val="22"/>
    </w:rPr>
  </w:style>
  <w:style w:type="character" w:customStyle="1" w:styleId="Style25">
    <w:name w:val="Style25"/>
    <w:basedOn w:val="DefaultParagraphFont"/>
    <w:uiPriority w:val="1"/>
    <w:rsid w:val="00817449"/>
    <w:rPr>
      <w:rFonts w:ascii="Arial" w:hAnsi="Arial"/>
      <w:color w:val="2E74B5" w:themeColor="accent1" w:themeShade="BF"/>
      <w:sz w:val="16"/>
    </w:rPr>
  </w:style>
  <w:style w:type="character" w:customStyle="1" w:styleId="Style27">
    <w:name w:val="Style27"/>
    <w:basedOn w:val="DefaultParagraphFont"/>
    <w:uiPriority w:val="1"/>
    <w:rsid w:val="00817449"/>
    <w:rPr>
      <w:rFonts w:ascii="Arial" w:hAnsi="Arial"/>
      <w:color w:val="2E74B5" w:themeColor="accent1" w:themeShade="BF"/>
      <w:sz w:val="28"/>
    </w:rPr>
  </w:style>
  <w:style w:type="paragraph" w:styleId="ListParagraph">
    <w:name w:val="List Paragraph"/>
    <w:basedOn w:val="Normal"/>
    <w:uiPriority w:val="34"/>
    <w:unhideWhenUsed/>
    <w:qFormat/>
    <w:rsid w:val="004747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5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cc.owi-workforce-policy@hecc.orego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rat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purl.org/dc/terms/"/>
    <ds:schemaRef ds:uri="4873beb7-5857-4685-be1f-d57550cc96cc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Frater</dc:creator>
  <cp:keywords/>
  <dc:description/>
  <cp:lastModifiedBy>FITZGERALD Theresa * HECC</cp:lastModifiedBy>
  <cp:revision>2</cp:revision>
  <dcterms:created xsi:type="dcterms:W3CDTF">2022-11-23T20:44:00Z</dcterms:created>
  <dcterms:modified xsi:type="dcterms:W3CDTF">2022-11-23T20:44:00Z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